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65C6B">
      <w:pPr>
        <w:spacing w:line="520" w:lineRule="exact"/>
        <w:jc w:val="center"/>
        <w:rPr>
          <w:rFonts w:hint="eastAsia" w:asciiTheme="majorEastAsia" w:hAnsiTheme="majorEastAsia" w:eastAsiaTheme="majorEastAsia" w:cstheme="majorEastAsia"/>
          <w:sz w:val="44"/>
          <w:szCs w:val="44"/>
          <w:highlight w:val="none"/>
        </w:rPr>
      </w:pPr>
      <w:r>
        <w:rPr>
          <w:rFonts w:hint="eastAsia" w:asciiTheme="majorEastAsia" w:hAnsiTheme="majorEastAsia" w:eastAsiaTheme="majorEastAsia" w:cstheme="majorEastAsia"/>
          <w:sz w:val="44"/>
          <w:szCs w:val="44"/>
          <w:highlight w:val="none"/>
        </w:rPr>
        <w:t>广元市第一人民医院</w:t>
      </w:r>
    </w:p>
    <w:p w14:paraId="6F396322">
      <w:pPr>
        <w:spacing w:line="520" w:lineRule="exact"/>
        <w:jc w:val="center"/>
        <w:rPr>
          <w:rFonts w:hint="eastAsia" w:asciiTheme="majorEastAsia" w:hAnsiTheme="majorEastAsia" w:eastAsiaTheme="majorEastAsia" w:cstheme="majorEastAsia"/>
          <w:sz w:val="44"/>
          <w:szCs w:val="44"/>
          <w:highlight w:val="none"/>
        </w:rPr>
      </w:pPr>
      <w:r>
        <w:rPr>
          <w:rFonts w:hint="eastAsia" w:asciiTheme="majorEastAsia" w:hAnsiTheme="majorEastAsia" w:eastAsiaTheme="majorEastAsia" w:cstheme="majorEastAsia"/>
          <w:sz w:val="44"/>
          <w:szCs w:val="44"/>
          <w:highlight w:val="none"/>
        </w:rPr>
        <w:t>拟采购</w:t>
      </w:r>
      <w:r>
        <w:rPr>
          <w:rFonts w:hint="eastAsia" w:asciiTheme="majorEastAsia" w:hAnsiTheme="majorEastAsia" w:eastAsiaTheme="majorEastAsia" w:cstheme="majorEastAsia"/>
          <w:sz w:val="44"/>
          <w:szCs w:val="44"/>
          <w:highlight w:val="none"/>
          <w:lang w:val="en-US" w:eastAsia="zh-CN"/>
        </w:rPr>
        <w:t>医用耗材市场调研</w:t>
      </w:r>
      <w:r>
        <w:rPr>
          <w:rFonts w:hint="eastAsia" w:asciiTheme="majorEastAsia" w:hAnsiTheme="majorEastAsia" w:eastAsiaTheme="majorEastAsia" w:cstheme="majorEastAsia"/>
          <w:sz w:val="44"/>
          <w:szCs w:val="44"/>
          <w:highlight w:val="none"/>
        </w:rPr>
        <w:t>邀请公告</w:t>
      </w:r>
    </w:p>
    <w:p w14:paraId="7103B2C2">
      <w:pPr>
        <w:spacing w:line="520" w:lineRule="exact"/>
        <w:jc w:val="center"/>
        <w:rPr>
          <w:rFonts w:ascii="方正小标宋简体" w:eastAsia="方正小标宋简体"/>
          <w:sz w:val="44"/>
          <w:szCs w:val="44"/>
          <w:highlight w:val="none"/>
        </w:rPr>
      </w:pPr>
    </w:p>
    <w:p w14:paraId="4ABCDD68">
      <w:pPr>
        <w:keepNext w:val="0"/>
        <w:keepLines w:val="0"/>
        <w:pageBreakBefore w:val="0"/>
        <w:widowControl w:val="0"/>
        <w:kinsoku/>
        <w:wordWrap/>
        <w:overflowPunct/>
        <w:topLinePunct w:val="0"/>
        <w:autoSpaceDE/>
        <w:autoSpaceDN/>
        <w:bidi w:val="0"/>
        <w:adjustRightInd/>
        <w:snapToGrid/>
        <w:spacing w:line="540" w:lineRule="exact"/>
        <w:textAlignment w:val="auto"/>
        <w:rPr>
          <w:rFonts w:ascii="仿宋" w:hAnsi="仿宋" w:eastAsia="仿宋" w:cs="仿宋"/>
          <w:sz w:val="28"/>
          <w:szCs w:val="28"/>
          <w:highlight w:val="none"/>
        </w:rPr>
      </w:pPr>
      <w:r>
        <w:rPr>
          <w:rFonts w:hint="eastAsia" w:ascii="仿宋" w:hAnsi="仿宋" w:eastAsia="仿宋" w:cs="仿宋"/>
          <w:sz w:val="28"/>
          <w:szCs w:val="28"/>
          <w:highlight w:val="none"/>
        </w:rPr>
        <w:t>各潜在供应商：</w:t>
      </w:r>
    </w:p>
    <w:p w14:paraId="46D8EF07">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 w:hAnsi="仿宋" w:eastAsia="仿宋" w:cs="仿宋"/>
          <w:b/>
          <w:bCs/>
          <w:sz w:val="28"/>
          <w:szCs w:val="28"/>
          <w:highlight w:val="none"/>
        </w:rPr>
      </w:pPr>
      <w:r>
        <w:rPr>
          <w:rFonts w:hint="eastAsia" w:ascii="仿宋" w:hAnsi="仿宋" w:eastAsia="仿宋" w:cs="仿宋"/>
          <w:sz w:val="28"/>
          <w:szCs w:val="28"/>
          <w:highlight w:val="none"/>
          <w:lang w:val="en-US" w:eastAsia="zh-CN"/>
        </w:rPr>
        <w:t>为充分了解2026年度我院拟采购医用耗材的市场信息及价格。</w:t>
      </w:r>
      <w:r>
        <w:rPr>
          <w:rFonts w:hint="eastAsia" w:ascii="仿宋" w:hAnsi="仿宋" w:eastAsia="仿宋" w:cs="仿宋"/>
          <w:sz w:val="28"/>
          <w:szCs w:val="28"/>
          <w:highlight w:val="none"/>
        </w:rPr>
        <w:t>拟对采购</w:t>
      </w:r>
      <w:r>
        <w:rPr>
          <w:rFonts w:hint="eastAsia" w:ascii="仿宋" w:hAnsi="仿宋" w:eastAsia="仿宋" w:cs="仿宋"/>
          <w:sz w:val="28"/>
          <w:szCs w:val="28"/>
          <w:highlight w:val="none"/>
          <w:lang w:val="en-US" w:eastAsia="zh-CN"/>
        </w:rPr>
        <w:t>的医用耗材</w:t>
      </w:r>
      <w:r>
        <w:rPr>
          <w:rFonts w:hint="eastAsia" w:ascii="仿宋" w:hAnsi="仿宋" w:eastAsia="仿宋" w:cs="仿宋"/>
          <w:sz w:val="28"/>
          <w:szCs w:val="28"/>
          <w:highlight w:val="none"/>
        </w:rPr>
        <w:t>（详见</w:t>
      </w:r>
      <w:r>
        <w:rPr>
          <w:rFonts w:hint="eastAsia" w:ascii="仿宋" w:hAnsi="仿宋" w:eastAsia="仿宋" w:cs="仿宋"/>
          <w:sz w:val="28"/>
          <w:szCs w:val="28"/>
          <w:highlight w:val="none"/>
          <w:lang w:val="en-US" w:eastAsia="zh-CN"/>
        </w:rPr>
        <w:t>医用耗材</w:t>
      </w:r>
      <w:r>
        <w:rPr>
          <w:rFonts w:hint="eastAsia" w:ascii="仿宋" w:hAnsi="仿宋" w:eastAsia="仿宋" w:cs="仿宋"/>
          <w:sz w:val="28"/>
          <w:szCs w:val="28"/>
          <w:highlight w:val="none"/>
        </w:rPr>
        <w:t>清单）组织</w:t>
      </w:r>
      <w:r>
        <w:rPr>
          <w:rFonts w:hint="eastAsia" w:ascii="仿宋" w:hAnsi="仿宋" w:eastAsia="仿宋" w:cs="仿宋"/>
          <w:sz w:val="28"/>
          <w:szCs w:val="28"/>
          <w:highlight w:val="none"/>
          <w:lang w:val="en-US" w:eastAsia="zh-CN"/>
        </w:rPr>
        <w:t>潜在</w:t>
      </w:r>
      <w:r>
        <w:rPr>
          <w:rFonts w:hint="eastAsia" w:ascii="仿宋" w:hAnsi="仿宋" w:eastAsia="仿宋" w:cs="仿宋"/>
          <w:sz w:val="28"/>
          <w:szCs w:val="28"/>
          <w:highlight w:val="none"/>
        </w:rPr>
        <w:t>供应商进行</w:t>
      </w:r>
      <w:r>
        <w:rPr>
          <w:rFonts w:hint="eastAsia" w:ascii="仿宋" w:hAnsi="仿宋" w:eastAsia="仿宋" w:cs="仿宋"/>
          <w:sz w:val="28"/>
          <w:szCs w:val="28"/>
          <w:highlight w:val="none"/>
          <w:lang w:val="en-US" w:eastAsia="zh-CN"/>
        </w:rPr>
        <w:t>产品推荐</w:t>
      </w:r>
      <w:r>
        <w:rPr>
          <w:rFonts w:hint="eastAsia" w:ascii="仿宋" w:hAnsi="仿宋" w:eastAsia="仿宋" w:cs="仿宋"/>
          <w:sz w:val="28"/>
          <w:szCs w:val="28"/>
          <w:highlight w:val="none"/>
        </w:rPr>
        <w:t>论证及</w:t>
      </w:r>
      <w:r>
        <w:rPr>
          <w:rFonts w:hint="eastAsia" w:ascii="仿宋" w:hAnsi="仿宋" w:eastAsia="仿宋" w:cs="仿宋"/>
          <w:sz w:val="28"/>
          <w:szCs w:val="28"/>
          <w:highlight w:val="none"/>
          <w:lang w:val="en-US" w:eastAsia="zh-CN"/>
        </w:rPr>
        <w:t>采购</w:t>
      </w:r>
      <w:r>
        <w:rPr>
          <w:rFonts w:hint="eastAsia" w:ascii="仿宋" w:hAnsi="仿宋" w:eastAsia="仿宋" w:cs="仿宋"/>
          <w:sz w:val="28"/>
          <w:szCs w:val="28"/>
          <w:highlight w:val="none"/>
        </w:rPr>
        <w:t>技术参数</w:t>
      </w:r>
      <w:r>
        <w:rPr>
          <w:rFonts w:hint="eastAsia" w:ascii="仿宋" w:hAnsi="仿宋" w:eastAsia="仿宋" w:cs="仿宋"/>
          <w:sz w:val="28"/>
          <w:szCs w:val="28"/>
          <w:highlight w:val="none"/>
          <w:lang w:val="en-US" w:eastAsia="zh-CN"/>
        </w:rPr>
        <w:t>等资料</w:t>
      </w:r>
      <w:r>
        <w:rPr>
          <w:rFonts w:hint="eastAsia" w:ascii="仿宋" w:hAnsi="仿宋" w:eastAsia="仿宋" w:cs="仿宋"/>
          <w:sz w:val="28"/>
          <w:szCs w:val="28"/>
          <w:highlight w:val="none"/>
        </w:rPr>
        <w:t>征集活动, 欢迎具备合格资质、相应供应及服务能力的供应商积极</w:t>
      </w:r>
      <w:r>
        <w:rPr>
          <w:rFonts w:hint="eastAsia" w:ascii="仿宋" w:hAnsi="仿宋" w:eastAsia="仿宋" w:cs="仿宋"/>
          <w:sz w:val="28"/>
          <w:szCs w:val="28"/>
          <w:highlight w:val="none"/>
          <w:lang w:val="en-US" w:eastAsia="zh-CN"/>
        </w:rPr>
        <w:t>报名</w:t>
      </w:r>
      <w:r>
        <w:rPr>
          <w:rFonts w:hint="eastAsia" w:ascii="仿宋" w:hAnsi="仿宋" w:eastAsia="仿宋" w:cs="仿宋"/>
          <w:sz w:val="28"/>
          <w:szCs w:val="28"/>
          <w:highlight w:val="none"/>
        </w:rPr>
        <w:t>参加，现将有关事宜公告如下</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详细要求见附件</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w:t>
      </w:r>
    </w:p>
    <w:p w14:paraId="158C5CFC">
      <w:pPr>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eastAsia="zh-CN"/>
        </w:rPr>
        <w:t>医用耗材</w:t>
      </w:r>
      <w:r>
        <w:rPr>
          <w:rFonts w:hint="eastAsia" w:ascii="仿宋" w:hAnsi="仿宋" w:eastAsia="仿宋" w:cs="仿宋"/>
          <w:b/>
          <w:bCs/>
          <w:sz w:val="28"/>
          <w:szCs w:val="28"/>
          <w:highlight w:val="none"/>
        </w:rPr>
        <w:t>清单</w:t>
      </w:r>
    </w:p>
    <w:tbl>
      <w:tblPr>
        <w:tblStyle w:val="7"/>
        <w:tblW w:w="90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4230"/>
        <w:gridCol w:w="2433"/>
        <w:gridCol w:w="1332"/>
      </w:tblGrid>
      <w:tr w14:paraId="5FA7D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1C7AB">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序号</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EFE32">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产品名称</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83952">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需求科室</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145A8">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cs="宋体"/>
                <w:b/>
                <w:bCs/>
                <w:i w:val="0"/>
                <w:iCs w:val="0"/>
                <w:color w:val="000000"/>
                <w:kern w:val="0"/>
                <w:sz w:val="18"/>
                <w:szCs w:val="18"/>
                <w:highlight w:val="none"/>
                <w:u w:val="none"/>
                <w:lang w:val="en-US" w:eastAsia="zh-CN" w:bidi="ar"/>
              </w:rPr>
              <w:t>是否</w:t>
            </w:r>
            <w:r>
              <w:rPr>
                <w:rFonts w:hint="eastAsia" w:ascii="宋体" w:hAnsi="宋体" w:eastAsia="宋体" w:cs="宋体"/>
                <w:b/>
                <w:bCs/>
                <w:i w:val="0"/>
                <w:iCs w:val="0"/>
                <w:color w:val="000000"/>
                <w:kern w:val="0"/>
                <w:sz w:val="18"/>
                <w:szCs w:val="18"/>
                <w:highlight w:val="none"/>
                <w:u w:val="none"/>
                <w:lang w:val="en-US" w:eastAsia="zh-CN" w:bidi="ar"/>
              </w:rPr>
              <w:t>需</w:t>
            </w:r>
            <w:r>
              <w:rPr>
                <w:rFonts w:hint="eastAsia" w:ascii="宋体" w:hAnsi="宋体" w:cs="宋体"/>
                <w:b/>
                <w:bCs/>
                <w:i w:val="0"/>
                <w:iCs w:val="0"/>
                <w:color w:val="000000"/>
                <w:kern w:val="0"/>
                <w:sz w:val="18"/>
                <w:szCs w:val="18"/>
                <w:highlight w:val="none"/>
                <w:u w:val="none"/>
                <w:lang w:val="en-US" w:eastAsia="zh-CN" w:bidi="ar"/>
              </w:rPr>
              <w:t>要</w:t>
            </w:r>
            <w:r>
              <w:rPr>
                <w:rFonts w:hint="eastAsia" w:ascii="宋体" w:hAnsi="宋体" w:eastAsia="宋体" w:cs="宋体"/>
                <w:b/>
                <w:bCs/>
                <w:i w:val="0"/>
                <w:iCs w:val="0"/>
                <w:color w:val="000000"/>
                <w:kern w:val="0"/>
                <w:sz w:val="18"/>
                <w:szCs w:val="18"/>
                <w:highlight w:val="none"/>
                <w:u w:val="none"/>
                <w:lang w:val="en-US" w:eastAsia="zh-CN" w:bidi="ar"/>
              </w:rPr>
              <w:t>租赁配套设备</w:t>
            </w:r>
          </w:p>
        </w:tc>
      </w:tr>
      <w:tr w14:paraId="0CC5B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A2A5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27A3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天然橡胶胶乳男用避孕套</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CEE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超声医学科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F11C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280AB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50A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79E8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一次性使用引流导管套装</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B0F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超声医学科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F1E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4F665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3085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EC2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一次性使用引流管</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B261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儿科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56AA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411DD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47C3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4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B929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穴位贴敷治疗贴</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32F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儿科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D60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09CA9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584A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4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457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听小骨</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D3A1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耳鼻喉科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D4CC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44368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51EBF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643A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一次性使用高压造影注射器及附件-单路连接管</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3EDF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放射科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BFE4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65A1D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5EAB9">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C21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一次性使用高压造影注射器及附件-高压注射器1（单筒）</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9F5A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放射科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EF9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4B76F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7BE5E">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F5C6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一次性使用高压造影注射器及附件-高压注射器2（双筒）</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FF63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放射科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65C8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78B2A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E794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845A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一次性使用妇科冲洗治疗头</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5610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妇科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8CD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1CFB8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D941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1F8D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射频消融电极</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8B68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妇科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400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1B035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3853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67AB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盆底修补网</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475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妇科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F256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6E429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2BCE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97E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一次性使用电子宫腔成像导管</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ED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妇科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D80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5ABAB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1272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D02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乳房软组织加强补片</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3633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肝胆外科·甲乳外科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D3E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07646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4BBF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7B5F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人工乳房植入体</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2D85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肝胆外科·甲乳外科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FD89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3BB83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C56F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F1B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一次性使用无菌过线针芯</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84CF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关节创伤外科·运动医学科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9E53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6D1D5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FC60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3A2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一次性骨水泥真空搅拌套件</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3F8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关节创伤外科·运动医学科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699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3E9E0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E518F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4BC2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肩关节假体——肱骨头</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DCEF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关节创伤外科·运动医学科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1B3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4C1FF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DDCB6">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DB5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肩关节假体——肱骨柄</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9E4C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关节创伤外科·运动医学科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984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249A2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042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w:t>
            </w:r>
          </w:p>
        </w:tc>
        <w:tc>
          <w:tcPr>
            <w:tcW w:w="4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F80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同种骨植入材料</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E094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骨科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3B3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2F1CB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280D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w:t>
            </w:r>
          </w:p>
        </w:tc>
        <w:tc>
          <w:tcPr>
            <w:tcW w:w="4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827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组合式外固定支架</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875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骨科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E9BF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273A4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5E63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w:t>
            </w:r>
          </w:p>
        </w:tc>
        <w:tc>
          <w:tcPr>
            <w:tcW w:w="4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0602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单侧一体式外固定支架</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07B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骨科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3FF2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34779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118A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19</w:t>
            </w:r>
          </w:p>
        </w:tc>
        <w:tc>
          <w:tcPr>
            <w:tcW w:w="4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DEF7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U型钉</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46B0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骨科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0C6D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7EF25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2C2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2ACA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泡沫敷料</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E72B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呼吸与危重症医学科、重症医学科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8789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744B4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1F5B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21</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B2D7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肺动脉导引导管</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16F1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呼吸与危重症医学科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79A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56F36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DCEE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22</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82C2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肺动脉球囊扩张导管</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8E8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呼吸与危重症医学科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90C0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25794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95C4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23</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DDCE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肺动脉微导管</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38E3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呼吸与危重症医学科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C69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3F381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E217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A553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可控式吸痰管</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1B2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呼吸与危重症医学科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8BC0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2B290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A45F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25</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C075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热稀释漂浮导管</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B108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呼吸与危重症医学科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134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03EF7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31F0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26</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ADB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输氧面罩组合包</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114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急诊科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CEDC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3A23B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5B9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27</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6AD9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咬嘴</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CAC8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健康管理中心</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C15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0054E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65FD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28</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CB71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定制式固定义齿-全瓷牙冠/桥-二氧化锆晶瓷(饰瓷)</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641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0188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038C3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F4BE6">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22B5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定制式固定义齿-全瓷牙冠/桥-高强度氧化锆全锆冠</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FD4F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D4DB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278B0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0634A">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ACD6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定制式固定义齿-全瓷牙冠/桥-二氧化锆(泽康)</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B3BF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2DB0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10435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91CBB">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F51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定制式固定义齿-全瓷牙冠/桥-二氧化锆臻瓷(饰瓷)</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670C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EF3F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272BA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EB24F">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403E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定制式固定义齿-全瓷牙冠/桥-铂晶瓷(饰瓷)</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2B1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603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58C5A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3A4D9">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6C93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定制式固定义齿-全瓷牙冠/桥-LAVA全锆冠(全锆)</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8E8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2005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7420A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F65B4">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9085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定制式固定义齿-全瓷牙冠/桥-亚非爱迩全瓷(全锆)</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29B4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787A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31B55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B6229">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50F6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定制式固定义齿-全瓷牙冠/桥-亚非爱迩全瓷(饰瓷)</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F591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65D9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7A558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90AD2">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54DB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定制式固定义齿-全瓷牙冠/桥-二氧化锆臻瓷(全锆)</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9F1E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6CDB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2136D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3AA16">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C27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定制式固定义齿-全瓷牙冠/桥-单牙种植用全瓷牙冠</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E89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3652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6F0E5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0ED4E">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248B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定制式固定义齿-金属烤瓷冠/桥-无铍无定制式固定义齿-金属烤瓷冠/桥-镍烤瓷冠</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C0B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A00B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47252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62F40">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B4C0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定制式固定义齿-金属烤瓷冠/桥-纳米聚合瓷</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E24A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A1CB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6D37E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D44A1">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0FF2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定制式固定义齿-金属烤瓷冠/桥-阿登特克烤瓷冠</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9EEC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52A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6953A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819B8">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D5FB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定制式固定义齿-金属烤瓷冠/桥-超强生物烤瓷冠</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312E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A5EF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1123A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10726">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E88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定制式活动义齿-支架-整铸支架</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B3DA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EE55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4D248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E6CC5">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4D2C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定制式活动义齿-支架-高弹钢支架</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FAB0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0C41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51CCD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A5566">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4FD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定制式活动义齿-支架-纯钛支架</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2BA1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D2DF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6A333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9FA06">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0FFC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定制式活动义齿-树脂基托-树脂义齿</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A96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F4B3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37D7D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7E6FD">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18ED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定制式活动义齿-树脂基托-不碎胶(松风)</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916E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6B2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76401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F4C94">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237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定制式活动义齿-树脂基托-隐形义齿</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0118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78B1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3F946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0E044">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37DF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定制式活动义齿-树脂牙-日本山八牙</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3F69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962C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74549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75008">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E5A2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定制式活动义齿-树脂牙-塑钢牙</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C667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6652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383E3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19B65">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6546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定制式活动义齿-树脂牙-凯晶舒适四层显色牙</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385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D31C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7F0BE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C7CDD">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A2D2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定制式活动义齿-树脂牙-日本松风塑钢牙</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2CC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AF56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29836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6CC9E">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9CB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定制式活动义齿-正畸/矫治-导向板</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9A91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94EC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2BB8F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0D53A">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CD97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定制式活动义齿-正畸/矫治-夜磨牙套</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7B7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50A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63623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3AA3E">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1004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定制式活动义齿-正畸/矫治-加卡环</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34B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7F65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53F4D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E309E">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C3A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定制式活动义齿-正畸/矫治-哈利式保持器</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4A65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439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6D99E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FD772">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983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定制式活动义齿-正畸/矫治-间隙保持器</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3C23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B9A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7BC82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791BE">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E13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定制式活动义齿-正畸/矫治-颌垫</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A6F5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6443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7DEFD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8D43A">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BA8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定制式活动义齿-正畸/矫治-推簧</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E431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3D63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2E3B9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4BE04">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201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定制式活动义齿-正畸/矫治-法兰克</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9F7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1A62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39168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70EFB">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3E82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定制式活动义齿-正畸/矫治-牵引钩</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6BFA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3C65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0B03A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24D77">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8A48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个性化基台及螺钉</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18A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C37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13FAA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8B4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29</w:t>
            </w:r>
          </w:p>
        </w:tc>
        <w:tc>
          <w:tcPr>
            <w:tcW w:w="4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762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一次性使用医用橡胶手套</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89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6AB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573ED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BAAC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4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6610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正畸粘接剂系统</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7466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77C9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4F55C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7E2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w:t>
            </w:r>
          </w:p>
        </w:tc>
        <w:tc>
          <w:tcPr>
            <w:tcW w:w="4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5FF9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正畸用托槽和颊面管</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388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4D1D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71F8E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4BE8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32</w:t>
            </w:r>
          </w:p>
        </w:tc>
        <w:tc>
          <w:tcPr>
            <w:tcW w:w="4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4B52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牙胶尖</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182C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2887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2BE05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8C1A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33</w:t>
            </w:r>
          </w:p>
        </w:tc>
        <w:tc>
          <w:tcPr>
            <w:tcW w:w="4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3B52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牙根管塞尖（牙胶尖）</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EB2C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B80D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2C4FE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1814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34</w:t>
            </w:r>
          </w:p>
        </w:tc>
        <w:tc>
          <w:tcPr>
            <w:tcW w:w="4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3612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硅橡胶印模材料</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D6AD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8D41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1AF9E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608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35</w:t>
            </w:r>
          </w:p>
        </w:tc>
        <w:tc>
          <w:tcPr>
            <w:tcW w:w="4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8699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光固化复合树脂</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4CA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733E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4C4B0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CC43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36</w:t>
            </w:r>
          </w:p>
        </w:tc>
        <w:tc>
          <w:tcPr>
            <w:tcW w:w="4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4DC1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根管充填材料</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149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CFF9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08205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7D83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37</w:t>
            </w:r>
          </w:p>
        </w:tc>
        <w:tc>
          <w:tcPr>
            <w:tcW w:w="4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149A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齿科藻酸盐印模材料</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9603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4123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3EA5C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75ED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38</w:t>
            </w:r>
          </w:p>
        </w:tc>
        <w:tc>
          <w:tcPr>
            <w:tcW w:w="4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E5AA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充气升温装置</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A8B2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麻醉科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4319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6D87A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06EB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39</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8491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医用升温毯</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E805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麻醉科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18B4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74EFE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9C8F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40</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A21D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集成膜式氧合器</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4636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麻醉科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AC1A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09279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5514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41</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D2FE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一次性使用封堵支气管插管</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28AF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麻醉科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5C5C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5CCFC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1605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42</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7200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一次性使用麻醉机和呼吸机用呼吸管路套件</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F43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麻醉科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5A5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0E1AD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DFED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43</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8B8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过氧化氢低温等离子体灭菌器专用灭菌剂</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D067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麻醉科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250A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202E2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758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44</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F7D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一次性使用麻醉面罩</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9FE7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麻醉科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0E0F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2C886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3491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EA36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一次性使用麻醉用针</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B759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麻醉科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3B38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59F9C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CC70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46</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5EDE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一次性使用人工心肺机体外循环管道包</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71D8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麻醉科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D903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1B940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B36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47</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10B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一次性多部位脉搏血氧饱和度传感器</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BC53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麻醉科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7FF3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250EB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1FD9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48</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27B0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电切镜手术电极</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141C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麻醉科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B01A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5040A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867F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49</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1773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一次性使用负压引流袋</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CB3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麻醉科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9391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5989F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EC4C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1412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持续葡萄糖监测系统</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7D1A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内分泌科·老年病科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AF2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44697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886A3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51</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C02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一次性使用胰岛素泵用储药器</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DBE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内分泌科·老年病科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46B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7CD7F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7CBA9">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C30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一次性使用胰岛素泵用输注管路</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4C3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内分泌科·老年病科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9B72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29B1B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609C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52</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97E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高频手术电极</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3A5D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皮肤科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D69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6DCC4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9CE8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53</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267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一次性使用皮肤点刺针</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8DD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皮肤科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FE5C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061B8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3387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54</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9896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透明质酸钠修复敷料</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6CD7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皮肤科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F2FD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65741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F7B6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55</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F9EF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透明质酸钠修护生物膜敷料</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082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皮肤科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EBE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609BC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B930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56</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8272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一次性使用无菌注射器 带针</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5CCD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皮肤科、呼吸与危重症医学科、门诊手术室</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7DCD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791A8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5682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57</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09C5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无菌手术刀片</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BCE5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伤口造口门诊</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A428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7E0E7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7F4E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58</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D16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导管鞘组</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6FC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神经内科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CFE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200BC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1392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59</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A56F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颅内取栓支架</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4F33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神经内科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141C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0BB97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1830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835B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神经血管微导管</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D706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神经内科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C4D2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615D4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8D26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61</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F5F1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手动股动脉压迫止血器</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FEA1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神经内科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1DA5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4E9A4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9D9E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62</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E4D0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远端通路导管</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C8EE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神经内科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D93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6C1E7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26F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63</w:t>
            </w:r>
          </w:p>
        </w:tc>
        <w:tc>
          <w:tcPr>
            <w:tcW w:w="4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6EA6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一次性使用隔离衣</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B582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神经内科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2F5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314D4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E1C5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64</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BE3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神经外科微血管减压垫片</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62C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6474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0BC01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37B6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65</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64C6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医用一次性针电极</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5B4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6A3D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79E88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38B9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66</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BDE1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生物膜</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9669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513F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6F4DF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0ED0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67</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7C11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植入式脊髓神经刺激器</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E26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3B3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175E9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8E779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68</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9E9C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颅骨网板</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AA2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7F2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144AD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348A3">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34D3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颅骨螺钉</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23C9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9B1F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7D873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017A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69</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0FB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一次性使用脑室外引流装置</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D9AC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A2B1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627E9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CA42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70</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9A07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一次性使用血液灌流器</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CA5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肾病内科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CFF9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60D67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D17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71</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F2E6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透析液过滤器</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E569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肾病内科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373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1B6D7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0A02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72</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909C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一次性使用单采血液成份分离器</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2A49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输血医学科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7708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74EAC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B582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73</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72AB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复合补片</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9916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胃肠外科·小儿外科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7C4B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4567D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0EC5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74</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3B61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可吸收钉修补固定器</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5455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胃肠外科·小儿外科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A0DA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4C249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37D2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75</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DF50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疝修补网（双面涂钛防粘连）</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66F5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胃肠外科·小儿外科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B57D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6D1E5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9F06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76</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08E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疝修补补片</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A27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胃肠外科·小儿外科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5F1A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24A68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3233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77</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C1B1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经导管植入式无导线起搏系统</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96DC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D6F9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35949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C89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78</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AA58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ACT(激活全血凝固时间)检测仪配套试管</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516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D910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177BD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8CBF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79</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9628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主动脉内球囊导管及附件</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EC68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C2F4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78F8F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5212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80</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070D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Y形连接器</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2B41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29CD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5A5E7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2A6D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81</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E72F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造影导丝</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967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AF7E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531D3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EA8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82</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6CED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冠状动脉螺纹球囊扩张导管</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FCE8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88DD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47E49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4800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83</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49A1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PTCA 球囊扩张导管</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7E7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52FF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094CB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3DF5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84</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6DAA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自粘弹力绷带</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6A6F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078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0165A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0EA5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85</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DDCB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一次性使用阻抗电极</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225A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F7AB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7BEC7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A5FFD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86</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1A19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生物可降解卵圆孔未闭合封堵器</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9FD9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689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77D5A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E8C2B">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0648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可降解封堵术介入输送系统</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94CB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983D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24839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1A23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87</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F777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双叶式机械心脏瓣膜</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C9F5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FD3F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3CE7F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4CC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88</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783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心脏外科生物补片</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4633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B93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02284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9A1E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89</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0A4A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一次性使用心脏停跳液灌注管路</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F170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08DB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057A4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8CB4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90</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665D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一次性使用体外循环配套静脉插管1</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65C0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3403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3E868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CE640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91</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3A5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一次性使用体外循环配套动脉插管</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D34F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AC95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4FEE9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D35C4">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1F77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一次性使用体外循环配套静脉插管2</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E81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2F02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45D54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C8BF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92</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5B1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分支型术中支架系统</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5B3C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200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2D7C1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3B2F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93</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B6F3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人工血管</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7050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心血管外科、肾病内科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4BB0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57EE6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1A0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94</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8780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肺动脉取栓支架系统</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CF1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E655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407A8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ADD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95</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2DC5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腹主动脉覆膜支架系统</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806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3EF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5B935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BFE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96</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D13A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心脏固定器</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A07C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482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31344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F726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97</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D66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一次性使用动脉插管</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8F72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9FF2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345B0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3F5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98</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F53A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一次性使用灌注管</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B37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8830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3D529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6EA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99</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9BF8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介入人工生物心脏瓣膜</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781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77E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1CE0C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69B9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127D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双腔取栓导管</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D347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1257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58F20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2823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101</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2C7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多功能手术解剖器</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D905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胸外科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45F6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5BF1A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6839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102</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AB75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吻合口加固修补片</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2F29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胸外科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723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6E251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26C7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103</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4E3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囊袋张力环</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BDC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眼科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180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044B4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1EB8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104</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B69A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超声眼科晶状体摘除和玻璃体切除设备及附件</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A9EB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眼科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FB20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490B9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2F62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105</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06B3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一次性使用眼科穿刺器</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222E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眼科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7DE2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56B8E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A79F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106</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CDFE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一次性使用眼内激光光纤</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450F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眼科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5FEF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33660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69A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107</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214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硅油</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6F9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眼科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3EB4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045B5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746D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108</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182C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眼科用重水</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03C0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眼科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7706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64E0E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5159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109</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5E29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眼用全氟丙烷气体</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A72F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眼科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F33F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0A037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839F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110</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87CA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义眼用羟基磷灰石生物陶瓷</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2827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眼科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E48A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226DE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A2E6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111</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C68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穴位压力刺激贴</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7713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中医科·肛肠科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85FC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32EC3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BC2A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112</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CDAC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中心静脉套件</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A7C8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肿瘤科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AD61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49A06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F9E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113</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868A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离心泵头</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5D7C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重症医学科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A998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16E19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5C9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114</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262F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膜式氧合器</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D4B3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重症医学科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3649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469A2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C48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115</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91E0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一次性使用无菌导管鞘</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70DF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重症医学科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E3CB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5DD43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730B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116</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55F2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一次性使用动静脉插管（动脉）</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E1B9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重症医学科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F2F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41D44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17950">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6CE0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一次性使用动静脉插管（静脉）</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7CC0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重症医学科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9B3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103D5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A872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117</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2B75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吸痰式气管切开插管及配件</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1FF4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重症医学科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A2AF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0D71F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97B9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118</w:t>
            </w:r>
          </w:p>
        </w:tc>
        <w:tc>
          <w:tcPr>
            <w:tcW w:w="4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A6C6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连续性血液净化管路</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C1A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重症医学科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2536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754D7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5F3C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119</w:t>
            </w:r>
          </w:p>
        </w:tc>
        <w:tc>
          <w:tcPr>
            <w:tcW w:w="4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0A2E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空心纤维血液透析滤过器</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F8D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重症医学科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E80E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4BE6C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6A4B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120</w:t>
            </w:r>
          </w:p>
        </w:tc>
        <w:tc>
          <w:tcPr>
            <w:tcW w:w="4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E1CD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血浆置换用管路</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8258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重症医学科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62A1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6EB33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3C7E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121</w:t>
            </w:r>
          </w:p>
        </w:tc>
        <w:tc>
          <w:tcPr>
            <w:tcW w:w="4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3DCB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血浆滤过器Plasma Filters</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0C2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重症医学科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328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r>
      <w:tr w14:paraId="6DB24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3182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122</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80BD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医用面罩式雾化器</w:t>
            </w:r>
          </w:p>
        </w:tc>
        <w:tc>
          <w:tcPr>
            <w:tcW w:w="2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042A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儿科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18E5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r>
      <w:tr w14:paraId="09BBF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9F8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123</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4CAC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一氧化氮检测单元</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6746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儿科、呼吸与危重症医学科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F86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r>
      <w:tr w14:paraId="49937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7DD4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124</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CFB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神经监护气管插管</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6B5E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肝胆外科·甲乳外科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0CA4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r>
      <w:tr w14:paraId="22886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ACA7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125</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9EEB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一次性使用血液回收耗材</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3158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麻醉科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111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r>
      <w:tr w14:paraId="25A86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0FD1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126</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A302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热化疗循环管路</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554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胃肠外科·小儿外科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A99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r>
      <w:tr w14:paraId="10E5D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5B8D4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127</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B8C8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一次性使用磁电定位压力监测脉冲电场消融导管</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AB8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C3CC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r>
      <w:tr w14:paraId="1C1EE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C2A81">
            <w:pPr>
              <w:jc w:val="center"/>
              <w:rPr>
                <w:rFonts w:hint="eastAsia" w:ascii="宋体" w:hAnsi="宋体" w:eastAsia="宋体" w:cs="宋体"/>
                <w:i w:val="0"/>
                <w:iCs w:val="0"/>
                <w:color w:val="000000"/>
                <w:sz w:val="18"/>
                <w:szCs w:val="18"/>
                <w:highlight w:val="none"/>
                <w:u w:val="none"/>
              </w:rPr>
            </w:pPr>
          </w:p>
        </w:tc>
        <w:tc>
          <w:tcPr>
            <w:tcW w:w="4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5AD9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一次性使用磁定位环形标测导管</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C170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C54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r>
      <w:tr w14:paraId="1F461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088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128</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655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一次性使用心脏脉冲电场消融导管</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1C01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4398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r>
      <w:tr w14:paraId="17D52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3B06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129</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96B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一次性使用血管内成像导管</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747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743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r>
      <w:tr w14:paraId="2C217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C066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130</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B112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压力微导管</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D6C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DDBC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r>
      <w:tr w14:paraId="57ABA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635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131</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5E7B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机械血栓切除系统</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1F38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148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r>
      <w:tr w14:paraId="487F3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A44F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132</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460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静脉腔内射频闭合设备</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B70C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5806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r>
      <w:tr w14:paraId="4F3A9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6287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133</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F516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一次性使用无菌双极射频消融钳</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42B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A958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r>
      <w:tr w14:paraId="17048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35CF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134</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2069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一次性使用外周血管血栓抽吸导管</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EFD4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F537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r>
      <w:tr w14:paraId="5D1B2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1BE1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135</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9699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一次性使用冷冻消融针</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4581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肿瘤科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CE3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r>
      <w:tr w14:paraId="120E0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A31F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136</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1716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一次性使用阻抗电极</w:t>
            </w:r>
          </w:p>
        </w:tc>
        <w:tc>
          <w:tcPr>
            <w:tcW w:w="2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EE28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重症医学科</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9A74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r>
    </w:tbl>
    <w:p w14:paraId="2EA5E205">
      <w:pPr>
        <w:rPr>
          <w:rFonts w:hint="default"/>
          <w:highlight w:val="none"/>
          <w:lang w:val="en-US" w:eastAsia="zh-CN"/>
        </w:rPr>
      </w:pPr>
    </w:p>
    <w:p w14:paraId="23C76D18">
      <w:pPr>
        <w:ind w:firstLine="4460" w:firstLineChars="1593"/>
        <w:jc w:val="right"/>
        <w:rPr>
          <w:rFonts w:ascii="仿宋" w:hAnsi="仿宋" w:eastAsia="仿宋" w:cs="仿宋"/>
          <w:sz w:val="28"/>
          <w:szCs w:val="28"/>
          <w:highlight w:val="none"/>
        </w:rPr>
      </w:pPr>
      <w:r>
        <w:rPr>
          <w:rFonts w:hint="eastAsia" w:ascii="仿宋" w:hAnsi="仿宋" w:eastAsia="仿宋" w:cs="仿宋"/>
          <w:sz w:val="28"/>
          <w:szCs w:val="28"/>
          <w:highlight w:val="none"/>
        </w:rPr>
        <w:t>广元市第一人民医院</w:t>
      </w:r>
    </w:p>
    <w:p w14:paraId="6DACB434">
      <w:pPr>
        <w:ind w:firstLine="4740" w:firstLineChars="1693"/>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202</w:t>
      </w: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31</w:t>
      </w:r>
      <w:r>
        <w:rPr>
          <w:rFonts w:hint="eastAsia" w:ascii="仿宋" w:hAnsi="仿宋" w:eastAsia="仿宋" w:cs="仿宋"/>
          <w:sz w:val="28"/>
          <w:szCs w:val="28"/>
          <w:highlight w:val="none"/>
        </w:rPr>
        <w:t>日</w:t>
      </w:r>
    </w:p>
    <w:p w14:paraId="6055023B">
      <w:pPr>
        <w:spacing w:line="520" w:lineRule="exact"/>
        <w:jc w:val="both"/>
        <w:rPr>
          <w:rFonts w:hint="eastAsia" w:ascii="方正小标宋_GBK" w:hAnsi="方正小标宋_GBK" w:eastAsia="方正小标宋_GBK" w:cs="方正小标宋_GBK"/>
          <w:sz w:val="36"/>
          <w:szCs w:val="36"/>
          <w:highlight w:val="none"/>
          <w:lang w:val="en-US" w:eastAsia="zh-CN"/>
        </w:rPr>
      </w:pPr>
      <w:r>
        <w:rPr>
          <w:rFonts w:hint="eastAsia" w:ascii="方正小标宋简体" w:eastAsia="方正小标宋简体"/>
          <w:sz w:val="36"/>
          <w:szCs w:val="36"/>
          <w:highlight w:val="none"/>
          <w:lang w:val="en-US" w:eastAsia="zh-CN"/>
        </w:rPr>
        <w:t>附件</w:t>
      </w:r>
    </w:p>
    <w:p w14:paraId="1EE155CB">
      <w:pPr>
        <w:spacing w:line="520" w:lineRule="exact"/>
        <w:jc w:val="center"/>
        <w:rPr>
          <w:rFonts w:hint="eastAsia" w:ascii="方正小标宋_GBK" w:hAnsi="方正小标宋_GBK" w:eastAsia="方正小标宋_GBK" w:cs="方正小标宋_GBK"/>
          <w:sz w:val="40"/>
          <w:szCs w:val="40"/>
          <w:highlight w:val="none"/>
        </w:rPr>
      </w:pPr>
      <w:r>
        <w:rPr>
          <w:rFonts w:hint="eastAsia" w:ascii="方正小标宋_GBK" w:hAnsi="方正小标宋_GBK" w:eastAsia="方正小标宋_GBK" w:cs="方正小标宋_GBK"/>
          <w:sz w:val="40"/>
          <w:szCs w:val="40"/>
          <w:highlight w:val="none"/>
        </w:rPr>
        <w:t>广元市第一人民医院</w:t>
      </w:r>
    </w:p>
    <w:p w14:paraId="1B149B87">
      <w:pPr>
        <w:spacing w:line="520" w:lineRule="exact"/>
        <w:jc w:val="center"/>
        <w:rPr>
          <w:rFonts w:hint="eastAsia" w:ascii="方正小标宋简体" w:eastAsia="方正小标宋简体"/>
          <w:sz w:val="44"/>
          <w:szCs w:val="44"/>
          <w:highlight w:val="none"/>
          <w:lang w:val="en-US" w:eastAsia="zh-CN"/>
        </w:rPr>
      </w:pPr>
      <w:r>
        <w:rPr>
          <w:rFonts w:hint="eastAsia" w:ascii="方正小标宋_GBK" w:hAnsi="方正小标宋_GBK" w:eastAsia="方正小标宋_GBK" w:cs="方正小标宋_GBK"/>
          <w:sz w:val="40"/>
          <w:szCs w:val="40"/>
          <w:highlight w:val="none"/>
        </w:rPr>
        <w:t>拟采购</w:t>
      </w:r>
      <w:r>
        <w:rPr>
          <w:rFonts w:hint="eastAsia" w:ascii="方正小标宋_GBK" w:hAnsi="方正小标宋_GBK" w:eastAsia="方正小标宋_GBK" w:cs="方正小标宋_GBK"/>
          <w:sz w:val="40"/>
          <w:szCs w:val="40"/>
          <w:highlight w:val="none"/>
          <w:lang w:eastAsia="zh-CN"/>
        </w:rPr>
        <w:t>医用耗材</w:t>
      </w:r>
      <w:r>
        <w:rPr>
          <w:rFonts w:hint="eastAsia" w:ascii="方正小标宋_GBK" w:hAnsi="方正小标宋_GBK" w:eastAsia="方正小标宋_GBK" w:cs="方正小标宋_GBK"/>
          <w:sz w:val="40"/>
          <w:szCs w:val="40"/>
          <w:highlight w:val="none"/>
          <w:lang w:val="en-US" w:eastAsia="zh-CN"/>
        </w:rPr>
        <w:t>市场调研要求</w:t>
      </w:r>
    </w:p>
    <w:p w14:paraId="186F4137">
      <w:pPr>
        <w:spacing w:line="520" w:lineRule="exact"/>
        <w:jc w:val="center"/>
        <w:rPr>
          <w:rFonts w:hint="eastAsia" w:ascii="方正小标宋简体" w:eastAsia="方正小标宋简体"/>
          <w:sz w:val="44"/>
          <w:szCs w:val="44"/>
          <w:highlight w:val="none"/>
          <w:lang w:val="en-US" w:eastAsia="zh-CN"/>
        </w:rPr>
      </w:pPr>
    </w:p>
    <w:p w14:paraId="1F99FC64">
      <w:pPr>
        <w:numPr>
          <w:ilvl w:val="0"/>
          <w:numId w:val="1"/>
        </w:numPr>
        <w:spacing w:line="520" w:lineRule="exact"/>
        <w:ind w:firstLine="482" w:firstLineChars="200"/>
        <w:rPr>
          <w:rFonts w:hint="eastAsia" w:ascii="黑体" w:hAnsi="黑体" w:eastAsia="黑体" w:cs="黑体"/>
          <w:b/>
          <w:bCs/>
          <w:sz w:val="24"/>
          <w:szCs w:val="24"/>
          <w:highlight w:val="none"/>
          <w:lang w:val="en-US" w:eastAsia="zh-CN"/>
        </w:rPr>
      </w:pPr>
      <w:r>
        <w:rPr>
          <w:rFonts w:hint="eastAsia" w:ascii="黑体" w:hAnsi="黑体" w:eastAsia="黑体" w:cs="黑体"/>
          <w:b/>
          <w:bCs/>
          <w:color w:val="auto"/>
          <w:sz w:val="24"/>
          <w:szCs w:val="24"/>
          <w:highlight w:val="none"/>
        </w:rPr>
        <w:t>项目编号：</w:t>
      </w:r>
      <w:r>
        <w:rPr>
          <w:rFonts w:hint="eastAsia" w:ascii="仿宋" w:hAnsi="仿宋" w:eastAsia="仿宋" w:cs="仿宋"/>
          <w:b/>
          <w:bCs/>
          <w:color w:val="auto"/>
          <w:sz w:val="28"/>
          <w:szCs w:val="28"/>
          <w:highlight w:val="none"/>
          <w:lang w:val="en-US" w:eastAsia="zh-CN"/>
        </w:rPr>
        <w:t>HC</w:t>
      </w:r>
      <w:r>
        <w:rPr>
          <w:rFonts w:hint="eastAsia" w:ascii="仿宋" w:hAnsi="仿宋" w:eastAsia="仿宋" w:cs="仿宋"/>
          <w:b/>
          <w:bCs/>
          <w:color w:val="auto"/>
          <w:sz w:val="28"/>
          <w:szCs w:val="28"/>
          <w:highlight w:val="none"/>
        </w:rPr>
        <w:t>XQLZ</w:t>
      </w:r>
      <w:r>
        <w:rPr>
          <w:rFonts w:hint="eastAsia" w:ascii="仿宋" w:hAnsi="仿宋" w:eastAsia="仿宋" w:cs="仿宋"/>
          <w:b/>
          <w:bCs/>
          <w:color w:val="auto"/>
          <w:sz w:val="28"/>
          <w:szCs w:val="28"/>
          <w:highlight w:val="none"/>
          <w:lang w:val="en-US" w:eastAsia="zh-CN"/>
        </w:rPr>
        <w:t>-</w:t>
      </w:r>
      <w:r>
        <w:rPr>
          <w:rFonts w:hint="eastAsia" w:ascii="仿宋" w:hAnsi="仿宋" w:eastAsia="仿宋" w:cs="仿宋"/>
          <w:b/>
          <w:bCs/>
          <w:color w:val="auto"/>
          <w:sz w:val="28"/>
          <w:szCs w:val="28"/>
          <w:highlight w:val="none"/>
        </w:rPr>
        <w:t>20</w:t>
      </w:r>
      <w:r>
        <w:rPr>
          <w:rFonts w:hint="eastAsia" w:ascii="仿宋" w:hAnsi="仿宋" w:eastAsia="仿宋" w:cs="仿宋"/>
          <w:b/>
          <w:bCs/>
          <w:color w:val="auto"/>
          <w:sz w:val="28"/>
          <w:szCs w:val="28"/>
          <w:highlight w:val="none"/>
          <w:lang w:val="en-US" w:eastAsia="zh-CN"/>
        </w:rPr>
        <w:t>26-01</w:t>
      </w:r>
    </w:p>
    <w:p w14:paraId="47DE60A0">
      <w:pPr>
        <w:numPr>
          <w:ilvl w:val="0"/>
          <w:numId w:val="1"/>
        </w:numPr>
        <w:spacing w:line="520" w:lineRule="exact"/>
        <w:ind w:firstLine="482" w:firstLineChars="200"/>
        <w:rPr>
          <w:rFonts w:hint="eastAsia" w:ascii="黑体" w:hAnsi="黑体" w:eastAsia="黑体" w:cs="黑体"/>
          <w:b/>
          <w:bCs/>
          <w:sz w:val="24"/>
          <w:szCs w:val="24"/>
          <w:highlight w:val="none"/>
          <w:lang w:val="en-US" w:eastAsia="zh-CN"/>
        </w:rPr>
      </w:pPr>
      <w:r>
        <w:rPr>
          <w:rFonts w:hint="eastAsia" w:ascii="黑体" w:hAnsi="黑体" w:eastAsia="黑体" w:cs="黑体"/>
          <w:b/>
          <w:bCs/>
          <w:sz w:val="24"/>
          <w:szCs w:val="24"/>
          <w:highlight w:val="none"/>
          <w:lang w:val="en-US" w:eastAsia="zh-CN"/>
        </w:rPr>
        <w:t>项目名称：广元市第一人民医院医用耗材一批市场调研</w:t>
      </w:r>
    </w:p>
    <w:p w14:paraId="30CBD1AF">
      <w:pPr>
        <w:numPr>
          <w:ilvl w:val="0"/>
          <w:numId w:val="1"/>
        </w:numPr>
        <w:spacing w:line="520" w:lineRule="exact"/>
        <w:ind w:firstLine="482" w:firstLineChars="200"/>
        <w:rPr>
          <w:rFonts w:hint="eastAsia" w:ascii="黑体" w:hAnsi="黑体" w:eastAsia="黑体" w:cs="黑体"/>
          <w:b/>
          <w:bCs/>
          <w:sz w:val="24"/>
          <w:szCs w:val="24"/>
          <w:highlight w:val="none"/>
        </w:rPr>
      </w:pPr>
      <w:r>
        <w:rPr>
          <w:rFonts w:hint="eastAsia" w:ascii="黑体" w:hAnsi="黑体" w:eastAsia="黑体" w:cs="黑体"/>
          <w:b/>
          <w:bCs/>
          <w:sz w:val="24"/>
          <w:szCs w:val="24"/>
          <w:highlight w:val="none"/>
        </w:rPr>
        <w:t>项目内容及基本要求</w:t>
      </w:r>
    </w:p>
    <w:p w14:paraId="7B96D4CB">
      <w:pPr>
        <w:jc w:val="center"/>
        <w:rPr>
          <w:rFonts w:hint="eastAsia" w:ascii="仿宋" w:hAnsi="仿宋" w:eastAsia="仿宋" w:cs="仿宋"/>
          <w:b/>
          <w:bCs/>
          <w:sz w:val="28"/>
          <w:szCs w:val="28"/>
          <w:highlight w:val="none"/>
        </w:rPr>
      </w:pPr>
      <w:r>
        <w:rPr>
          <w:rFonts w:hint="eastAsia" w:ascii="黑体" w:hAnsi="黑体" w:eastAsia="黑体" w:cs="黑体"/>
          <w:b/>
          <w:bCs/>
          <w:sz w:val="28"/>
          <w:szCs w:val="28"/>
          <w:highlight w:val="none"/>
          <w:lang w:eastAsia="zh-CN"/>
        </w:rPr>
        <w:t>医用耗材</w:t>
      </w:r>
      <w:r>
        <w:rPr>
          <w:rFonts w:hint="eastAsia" w:ascii="黑体" w:hAnsi="黑体" w:eastAsia="黑体" w:cs="黑体"/>
          <w:b/>
          <w:bCs/>
          <w:sz w:val="28"/>
          <w:szCs w:val="28"/>
          <w:highlight w:val="none"/>
        </w:rPr>
        <w:t>清单</w:t>
      </w:r>
    </w:p>
    <w:tbl>
      <w:tblPr>
        <w:tblStyle w:val="7"/>
        <w:tblW w:w="6107" w:type="pct"/>
        <w:tblInd w:w="-94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9"/>
        <w:gridCol w:w="1504"/>
        <w:gridCol w:w="735"/>
        <w:gridCol w:w="1144"/>
        <w:gridCol w:w="1277"/>
        <w:gridCol w:w="5020"/>
      </w:tblGrid>
      <w:tr w14:paraId="4229F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57FC2">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序号</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FEED9">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产品名称</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75403">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单位</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3596F">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cs="宋体"/>
                <w:b/>
                <w:bCs/>
                <w:i w:val="0"/>
                <w:iCs w:val="0"/>
                <w:color w:val="000000"/>
                <w:kern w:val="0"/>
                <w:sz w:val="18"/>
                <w:szCs w:val="18"/>
                <w:highlight w:val="none"/>
                <w:u w:val="none"/>
                <w:lang w:val="en-US" w:eastAsia="zh-CN" w:bidi="ar"/>
              </w:rPr>
              <w:t>是否</w:t>
            </w:r>
            <w:r>
              <w:rPr>
                <w:rFonts w:hint="eastAsia" w:ascii="宋体" w:hAnsi="宋体" w:eastAsia="宋体" w:cs="宋体"/>
                <w:b/>
                <w:bCs/>
                <w:i w:val="0"/>
                <w:iCs w:val="0"/>
                <w:color w:val="000000"/>
                <w:kern w:val="0"/>
                <w:sz w:val="18"/>
                <w:szCs w:val="18"/>
                <w:highlight w:val="none"/>
                <w:u w:val="none"/>
                <w:lang w:val="en-US" w:eastAsia="zh-CN" w:bidi="ar"/>
              </w:rPr>
              <w:t>需</w:t>
            </w:r>
            <w:r>
              <w:rPr>
                <w:rFonts w:hint="eastAsia" w:ascii="宋体" w:hAnsi="宋体" w:cs="宋体"/>
                <w:b/>
                <w:bCs/>
                <w:i w:val="0"/>
                <w:iCs w:val="0"/>
                <w:color w:val="000000"/>
                <w:kern w:val="0"/>
                <w:sz w:val="18"/>
                <w:szCs w:val="18"/>
                <w:highlight w:val="none"/>
                <w:u w:val="none"/>
                <w:lang w:val="en-US" w:eastAsia="zh-CN" w:bidi="ar"/>
              </w:rPr>
              <w:t>要</w:t>
            </w:r>
            <w:r>
              <w:rPr>
                <w:rFonts w:hint="eastAsia" w:ascii="宋体" w:hAnsi="宋体" w:eastAsia="宋体" w:cs="宋体"/>
                <w:b/>
                <w:bCs/>
                <w:i w:val="0"/>
                <w:iCs w:val="0"/>
                <w:color w:val="000000"/>
                <w:kern w:val="0"/>
                <w:sz w:val="18"/>
                <w:szCs w:val="18"/>
                <w:highlight w:val="none"/>
                <w:u w:val="none"/>
                <w:lang w:val="en-US" w:eastAsia="zh-CN" w:bidi="ar"/>
              </w:rPr>
              <w:t>租赁配套设备</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34356">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需求科室</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D144D">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主要功能及要求</w:t>
            </w:r>
          </w:p>
        </w:tc>
      </w:tr>
      <w:tr w14:paraId="30A7A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0484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B7E4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天然橡胶胶乳男用避孕套</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FD3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4F27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6E29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超声医学科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473A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用于腔内超声（包括经阴道及经直肠）和部分特殊部位超声检查。无菌医用级，圆头无储精囊，光面，无香型。</w:t>
            </w:r>
          </w:p>
        </w:tc>
      </w:tr>
      <w:tr w14:paraId="62336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A5C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D05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一次性使用引流导管套装</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2A1E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7E5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23C3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超声医学科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2CF2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用于超声引导下胆管置管、胆囊置管、泌尿系统造瘘、胸腹腔积液置管长期保留的患者。该类产品管内需含内置固定线，套装配置齐全，满足使用。</w:t>
            </w:r>
          </w:p>
        </w:tc>
      </w:tr>
      <w:tr w14:paraId="12218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49D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4A2F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一次性使用引流管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932E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支</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0A5C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1A82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儿科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2F40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用于供体表创伤或切口引流。柔软顺滑，不伤鼻黏膜；弹性抗折，负压不塌陷、不堵管；透明可视，观察引流液、防逆流；适配负压，持续引流、固定稳固。一次性使用引流管的材质要符合儿童使用相关要求。</w:t>
            </w:r>
          </w:p>
        </w:tc>
      </w:tr>
      <w:tr w14:paraId="71F0F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12A2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398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穴位贴敷治疗贴</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A609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贴</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361B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B11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儿科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E535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用于对人体特定穴位，对中医穴位起刺激作用。直接作用于皮肤吸收，肝肾负担小，适用于儿童及不耐受口服药患者。</w:t>
            </w:r>
          </w:p>
        </w:tc>
      </w:tr>
      <w:tr w14:paraId="63129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B9ED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AD6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听小骨</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349C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BB6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7547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耳鼻喉科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906E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适用于慢性中耳炎等所致听骨链病损，术中需行听骨链重建，以满足恢复或提升听力要求。</w:t>
            </w:r>
          </w:p>
        </w:tc>
      </w:tr>
      <w:tr w14:paraId="4591D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EEB0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DDC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一次性使用高压造影注射器及附件-单路连接管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9F6D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支</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9A9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FF3B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放射科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84ED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CT高压造影环节连通注射针筒与患者通路，一次性无菌独立包装；常规管长≥150cm，耐压≥300PSI，高压推注状态下无开裂、漏液；管路柔韧性佳不易弯折闭塞，接头适配院内在用高压注射设备，接口密封性优异，可阻挡回流，内壁光滑不易附着造影剂，生物相容性达标，降低微粒污染风险。</w:t>
            </w:r>
          </w:p>
        </w:tc>
      </w:tr>
      <w:tr w14:paraId="34D4F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7974A">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752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一次性使用高压造影注射器及附件-高压注射器1（单筒）</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74B5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支</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398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9585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放射科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8232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适配单筒型高压注射设备完成单次造影剂推注，无菌独立包装；针筒容积适配CT常规造影需求，内壁做润滑处理、推拉顺滑；筒体壁厚均匀，常规承压≥300PSI高压不渗漏；刻度印刷清晰、剂量计量精准，配套穿刺式吸药部件，自带过滤结构阻隔药渣微粒；活塞密封性好，推注平稳，适配放射科常规增强扫描的注射速率要求。</w:t>
            </w:r>
          </w:p>
        </w:tc>
      </w:tr>
      <w:tr w14:paraId="41304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9145E">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AF7F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一次性使用高压造影注射器及附件-高压注射器2（双筒）</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AD51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支</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FF2B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DDC0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放射科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11D0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适配双筒高压注射设备，可实现造影剂、生理盐水两路分开给药，满足造影、同步冲管的操作需求；两套针筒内壁润滑度达标，耐压≥300PSI，耐压工况无渗漏；配套Y型连接管路、双吸药组件，两路管路密封性相互独立，杜绝药液串流；刻度清晰计量准确，适配双筒机型的程序注射参数，能够适配多期动态增强扫描，降低造影剂用量，无菌独立分装，适配放射科增强检查使用场景。</w:t>
            </w:r>
          </w:p>
        </w:tc>
      </w:tr>
      <w:tr w14:paraId="2751A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5B14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9714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一次性使用妇科冲洗治疗头</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5FE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13AA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625D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妇科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157F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用于连接医用臭氧冲洗治疗仪的治疗或冲洗手柄上，插入女性阴道内作为输送臭氧气体或液体的一次性耗材。能与科室现有的医用妇科臭氧治疗仪（江苏同人TR7000L）配套使用。规格齐全，能满足使用。</w:t>
            </w:r>
          </w:p>
        </w:tc>
      </w:tr>
      <w:tr w14:paraId="70CBA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8FBA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21B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射频消融电极</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5A3C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支</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5DB9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5E71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妇科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50E6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用于外阴、阴道、宫颈病变的治疗，配套我院射频治疗仪（武汉半边天BBT-RF-F280），产品能重复使用。</w:t>
            </w:r>
          </w:p>
        </w:tc>
      </w:tr>
      <w:tr w14:paraId="7C40F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6774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6EC3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盆底修补网</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A553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318D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F2B9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妇科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AD05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用于支撑脱垂脏器，修复盆底筋膜缺损，稳固盆腔解剖结构。规格齐全，能满足使用。</w:t>
            </w:r>
          </w:p>
        </w:tc>
      </w:tr>
      <w:tr w14:paraId="2B074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5C02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2260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一次性使用电子宫腔成像导管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7358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4245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6FE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妇科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89EE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用于宫腔的成像和检查，由导管、手柄、连接线等组成，手柄具备录像、拍照功能，产品一次性使用。</w:t>
            </w:r>
          </w:p>
        </w:tc>
      </w:tr>
      <w:tr w14:paraId="0E46D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6E3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924D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乳房软组织加强补片</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E48D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4FD6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E699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肝胆外科·甲乳外科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9FD9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用于乳腺癌术后乳房重建、乳房缺损修复等手术，对乳房软组织缺损区域进行填充、加强与支撑，弥补组织量不足，维持乳房形态完整性与稳定性；无免疫排斥反应，符合医用植入物标准。</w:t>
            </w:r>
          </w:p>
        </w:tc>
      </w:tr>
      <w:tr w14:paraId="33594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9DA8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0AC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人工乳房植入体</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D98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CB01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F70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肝胆外科·甲乳外科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245F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适用于乳房切除术后重建、先天性乳房发育不良或乳房畸形矫正场景，替代缺失/发育不足的乳房组织，塑造自然美观的乳房形态；需形态自然逼真，尺寸适配不同身形，外壳坚韧抗渗漏、抗破裂，材质符合医用植入物安全标准，无致癌致畸风险。</w:t>
            </w:r>
          </w:p>
        </w:tc>
      </w:tr>
      <w:tr w14:paraId="31EFD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B43A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B2E6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一次性使用无菌过线针芯</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8E59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B205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C3BD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关节创伤外科·运动医学科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858C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用于在关节镜下肩袖修复手术中引导缝线穿过撕裂的肩袖组织，完成缝合固定。配合我院肩袖缝合枪（锐健马斯汀801302400型）使用。</w:t>
            </w:r>
          </w:p>
        </w:tc>
      </w:tr>
      <w:tr w14:paraId="1A876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2B4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3046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一次性骨水泥真空搅拌套件</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BEC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648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8458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关节创伤外科·运动医学科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1D38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用于髋关节置换骨质疏松假体安装不稳定，提升骨水泥的强度和假体固定的稳定性。</w:t>
            </w:r>
          </w:p>
        </w:tc>
      </w:tr>
      <w:tr w14:paraId="1E725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04FFB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2790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肩关节假体——肱骨头</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757D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D0CD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BCB0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关节创伤外科·运动医学科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30AC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用于肩关节置换，替代肩关节结构，恢复肩关节活动功能。</w:t>
            </w:r>
          </w:p>
        </w:tc>
      </w:tr>
      <w:tr w14:paraId="38001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FDA53">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566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肩关节假体——肱骨柄</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1049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5D6A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8700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关节创伤外科·运动医学科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2D5D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用于肩关节置换，替代肩关节结构，恢复肩关节活动功能。</w:t>
            </w:r>
          </w:p>
        </w:tc>
      </w:tr>
      <w:tr w14:paraId="283A7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9D0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077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同种骨植入材料</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8AB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盒</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2420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AF5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骨科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F6F8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用于非承重部位骨缺损的充填、修复，关节、脊柱融合以及非承重骨的重建。</w:t>
            </w:r>
          </w:p>
        </w:tc>
      </w:tr>
      <w:tr w14:paraId="283FA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5E0C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D32B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组合式外固定支架</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0069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BBCE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7041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骨科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41F5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用于四肢开放性骨折、粉碎性骨折、骨感染等创伤的体外固定复位。</w:t>
            </w:r>
          </w:p>
        </w:tc>
      </w:tr>
      <w:tr w14:paraId="0099F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83F6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C1F5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单侧一体式外固定支架</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94B3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2F26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F6A1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骨科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9B01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用于四肢单侧骨折、骨盆骨折等创伤提供刚性外固定支撑。</w:t>
            </w:r>
          </w:p>
        </w:tc>
      </w:tr>
      <w:tr w14:paraId="15B3B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901E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19</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033E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U型钉</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6337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枚</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FF5D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0E62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骨科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9845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用于四肢骨折内固定。</w:t>
            </w:r>
          </w:p>
        </w:tc>
      </w:tr>
      <w:tr w14:paraId="3C311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649D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B43B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泡沫敷料</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DD3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张</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C1DB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FFA9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呼吸与危重症医学科、重症医学科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E009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用于覆盖体表非慢性创面、吸收创面渗液。适用于对卧床患者、无创呼吸机使用者受压部位减压。规格齐全，满足使用。</w:t>
            </w:r>
          </w:p>
        </w:tc>
      </w:tr>
      <w:tr w14:paraId="5535C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884D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21</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37E6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肺动脉导引导管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EAB4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51B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5DD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呼吸与危重症医学科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716C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用于经皮肺动脉球囊扩张术指引到靶血管。</w:t>
            </w:r>
          </w:p>
        </w:tc>
      </w:tr>
      <w:tr w14:paraId="613C2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0B44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22</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20FD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肺动脉球囊扩张导管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F186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B671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BF96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呼吸与危重症医学科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05DB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用于肺动脉狭窄治疗时扩张狭窄的肺动脉。</w:t>
            </w:r>
          </w:p>
        </w:tc>
      </w:tr>
      <w:tr w14:paraId="5F1E7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B213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23</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1B9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肺动脉微导管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95A9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B30E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7B52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呼吸与危重症医学科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894C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用于开通次全闭塞或完全闭塞的肺动脉协助微导丝寻路。</w:t>
            </w:r>
          </w:p>
        </w:tc>
      </w:tr>
      <w:tr w14:paraId="1E04E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A7DF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A6EE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可控式吸痰管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75F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673A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E7A4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呼吸与危重症医学科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EB6B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用于纤支镜留取标本，吸痰患者快速、有效留取标本送检；规格：14F。</w:t>
            </w:r>
          </w:p>
        </w:tc>
      </w:tr>
      <w:tr w14:paraId="3FDDA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1B60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25</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022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热稀释漂浮导管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A265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996E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9237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呼吸与危重症医学科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75E0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用于测量上腔静脉、下腔静脉、心房、心室、肺动脉压力以及可以热稀释法测量心输出量及心指数。</w:t>
            </w:r>
          </w:p>
        </w:tc>
      </w:tr>
      <w:tr w14:paraId="7B6A4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516E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26</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328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输氧面罩组合包</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454C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67DB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DD0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急诊科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44AD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适用于临床连接呼吸管路实行氧气输送。输氧面罩组合包由输氧面罩和输氧管组成。其中输氧面罩用于对缺氧患者进行输氧，作为氧气进入患者体内的通道；输氧管用于吸氧时氧源与吸氧者之间的氧气直接输送。</w:t>
            </w:r>
          </w:p>
        </w:tc>
      </w:tr>
      <w:tr w14:paraId="3AAA6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9732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27</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3DC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咬嘴</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B05C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78A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2A54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健康管理中心</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64AE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用于受试者和肺功能仪通气，防止漏气，同时隔绝体液，避免交叉感染。匹配我院心肺功能测试仪（Ruichao-S、Ruichao-STEBD），一次性使用。</w:t>
            </w:r>
          </w:p>
        </w:tc>
      </w:tr>
      <w:tr w14:paraId="0C034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7A53F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28</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9F70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定制式固定义齿-全瓷牙冠/桥-二氧化锆晶瓷(饰瓷)</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1412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EBB1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A04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B095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用于牙列缺损或牙体缺损的固定修复。</w:t>
            </w:r>
          </w:p>
        </w:tc>
      </w:tr>
      <w:tr w14:paraId="63E53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4B389">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1FEF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定制式固定义齿-全瓷牙冠/桥-高强度氧化锆全锆冠</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9BFE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A81B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9DB3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206A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用于牙列缺损或牙体缺损的固定修复。</w:t>
            </w:r>
          </w:p>
        </w:tc>
      </w:tr>
      <w:tr w14:paraId="640E4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8AB41">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A7D6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定制式固定义齿-全瓷牙冠/桥-二氧化锆(泽康)</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827F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526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3DC2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72DD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用于牙列缺损或牙体缺损的固定修复。</w:t>
            </w:r>
          </w:p>
        </w:tc>
      </w:tr>
      <w:tr w14:paraId="47570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531E3">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8658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定制式固定义齿-全瓷牙冠/桥-二氧化锆臻瓷(饰瓷)</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2E97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BC91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27BD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389E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用于牙列缺损或牙体缺损的固定修复。</w:t>
            </w:r>
          </w:p>
        </w:tc>
      </w:tr>
      <w:tr w14:paraId="26C73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78BB1">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35C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定制式固定义齿-全瓷牙冠/桥-铂晶瓷(饰瓷)</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8422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EEB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1B5C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E096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用于牙列缺损或牙体缺损的固定修复。</w:t>
            </w:r>
          </w:p>
        </w:tc>
      </w:tr>
      <w:tr w14:paraId="7E317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73062">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CAA8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定制式固定义齿-全瓷牙冠/桥-LAVA全锆冠(全锆)</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C1DE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BC6E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AC7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A772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用于牙列缺损或牙体缺损的固定修复。</w:t>
            </w:r>
          </w:p>
        </w:tc>
      </w:tr>
      <w:tr w14:paraId="17AD4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9EA6D">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BE9B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定制式固定义齿-全瓷牙冠/桥-亚非爱迩全瓷(全锆)</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C81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EFFB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CD0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E1E8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用于牙列缺损或牙体缺损的固定修复。</w:t>
            </w:r>
          </w:p>
        </w:tc>
      </w:tr>
      <w:tr w14:paraId="50B98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126EA">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CB9E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定制式固定义齿-全瓷牙冠/桥-亚非爱迩全瓷(饰瓷)</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F6DB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D1E6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61B6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4B69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用于牙列缺损或牙体缺损的固定修复。</w:t>
            </w:r>
          </w:p>
        </w:tc>
      </w:tr>
      <w:tr w14:paraId="0C68B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E8476">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42C2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定制式固定义齿-全瓷牙冠/桥-二氧化锆臻瓷(全锆)</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C166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6F87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250C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A8E4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用于牙列缺损或牙体缺损的固定修复。</w:t>
            </w:r>
          </w:p>
        </w:tc>
      </w:tr>
      <w:tr w14:paraId="3AFA5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09154">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883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定制式固定义齿-全瓷牙冠/桥-单牙种植用全瓷牙冠</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2D0B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E992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943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AD78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用于牙列缺损或牙体缺损的固定修复。</w:t>
            </w:r>
          </w:p>
        </w:tc>
      </w:tr>
      <w:tr w14:paraId="75898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FDF55">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945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定制式固定义齿-金属烤瓷冠/桥-无铍无定制式固定义齿-金属烤瓷冠/桥-镍烤瓷冠</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1402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1C19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8D0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311B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用于牙列缺损或牙体缺损的固定修复。</w:t>
            </w:r>
          </w:p>
        </w:tc>
      </w:tr>
      <w:tr w14:paraId="428B5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CFCE6">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E9A8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定制式固定义齿-金属烤瓷冠/桥-纳米聚合瓷</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8667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6FC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80DA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EB8E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用于牙列缺损或牙体缺损的固定修复。</w:t>
            </w:r>
          </w:p>
        </w:tc>
      </w:tr>
      <w:tr w14:paraId="26AE3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2630B">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A6E8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定制式固定义齿-金属烤瓷冠/桥-阿登特克烤瓷冠</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277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3F53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1630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0C00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用于牙列缺损或牙体缺损的固定修复。</w:t>
            </w:r>
          </w:p>
        </w:tc>
      </w:tr>
      <w:tr w14:paraId="57754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44316">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A811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定制式固定义齿-金属烤瓷冠/桥-超强生物烤瓷冠</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15ED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24DD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EE12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A884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用于牙列缺损或牙体缺损的固定修复。</w:t>
            </w:r>
          </w:p>
        </w:tc>
      </w:tr>
      <w:tr w14:paraId="7FF37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F25FD7">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6F7C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定制式活动义齿-支架-整铸支架</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D2B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件</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CB10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DE1F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B7E5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用于牙列缺损、牙列缺失的活动修复。</w:t>
            </w:r>
          </w:p>
        </w:tc>
      </w:tr>
      <w:tr w14:paraId="36406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20271">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8275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定制式活动义齿-支架-高弹钢支架</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6190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件</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C1E3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709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64DC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用于牙列缺损、牙列缺失的活动修复。</w:t>
            </w:r>
          </w:p>
        </w:tc>
      </w:tr>
      <w:tr w14:paraId="3D3F5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9F657">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ACB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定制式活动义齿-支架-纯钛支架</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C3A6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件</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30A8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56A2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7DB9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用于牙列缺损、牙列缺失的活动修复。</w:t>
            </w:r>
          </w:p>
        </w:tc>
      </w:tr>
      <w:tr w14:paraId="4200E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4D155">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AA45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定制式活动义齿-树脂基托-树脂义齿</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929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件</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FF89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9DEA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E977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用于牙列缺损、牙列缺失的活动修复。</w:t>
            </w:r>
          </w:p>
        </w:tc>
      </w:tr>
      <w:tr w14:paraId="3392D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931EF">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C91C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定制式活动义齿-树脂基托-不碎胶(松风)</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0EB5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件</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5BA5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AC6A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298C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用于牙列缺损、牙列缺失的活动修复。</w:t>
            </w:r>
          </w:p>
        </w:tc>
      </w:tr>
      <w:tr w14:paraId="2FC3E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3DF95">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56AC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定制式活动义齿-树脂基托-隐形义齿</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95B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件</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54C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208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CF26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用于牙列缺损、牙列缺失的活动修复。</w:t>
            </w:r>
          </w:p>
        </w:tc>
      </w:tr>
      <w:tr w14:paraId="3CDEC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2D080">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CC36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定制式活动义齿-树脂牙-日本山八牙</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3060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FF1B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61CB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17E3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用于牙列缺损、牙列缺失的活动修复。</w:t>
            </w:r>
          </w:p>
        </w:tc>
      </w:tr>
      <w:tr w14:paraId="1BE01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41D82">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B5F9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定制式活动义齿-树脂牙-塑钢牙</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D7A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56B6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408B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CEF6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用于牙列缺损、牙列缺失的活动修复。</w:t>
            </w:r>
          </w:p>
        </w:tc>
      </w:tr>
      <w:tr w14:paraId="761EA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5D8CF">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8152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定制式活动义齿-树脂牙-凯晶舒适四层显色牙</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432C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BD9B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A4CF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6E07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用于牙列缺损、牙列缺失的活动修复。</w:t>
            </w:r>
          </w:p>
        </w:tc>
      </w:tr>
      <w:tr w14:paraId="5FD71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63B77">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52EE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定制式活动义齿-树脂牙-日本松风塑钢牙</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3F6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E8C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7AC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B8DA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用于牙列缺损、牙列缺失的活动修复。</w:t>
            </w:r>
          </w:p>
        </w:tc>
      </w:tr>
      <w:tr w14:paraId="08428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99CBE">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C863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定制式活动义齿-正畸/矫治-导向板</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7C7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件</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A016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2859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8B68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用于牙列缺损、牙列缺失的活动修复。</w:t>
            </w:r>
          </w:p>
        </w:tc>
      </w:tr>
      <w:tr w14:paraId="6BAC6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5DCFC">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229B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定制式活动义齿-正畸/矫治-夜磨牙套</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417D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件</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845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CA15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82AF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用于牙列缺损、牙列缺失的活动修复。</w:t>
            </w:r>
          </w:p>
        </w:tc>
      </w:tr>
      <w:tr w14:paraId="10DCB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350E2">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F96F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定制式活动义齿-正畸/矫治-加卡环</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A7B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B87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2C9D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218F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用于牙列缺损、牙列缺失的活动修复。</w:t>
            </w:r>
          </w:p>
        </w:tc>
      </w:tr>
      <w:tr w14:paraId="36387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B552D">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35E1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定制式活动义齿-正畸/矫治-哈利式保持器</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CC86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件</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37FB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A9D7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91ED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用于牙列缺损、牙列缺失的活动修复。</w:t>
            </w:r>
          </w:p>
        </w:tc>
      </w:tr>
      <w:tr w14:paraId="279DD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33D84">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292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定制式活动义齿-正畸/矫治-间隙保持器</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5845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件</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DB9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C6A2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52F1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用于牙列缺损、牙列缺失的活动修复。</w:t>
            </w:r>
          </w:p>
        </w:tc>
      </w:tr>
      <w:tr w14:paraId="31270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17FD4">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9F92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定制式活动义齿-正畸/矫治-颌垫</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11B8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件</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215D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BAB6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46C1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用于牙列缺损、牙列缺失的活动修复。</w:t>
            </w:r>
          </w:p>
        </w:tc>
      </w:tr>
      <w:tr w14:paraId="2E17E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6A5BB">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3B2B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定制式活动义齿-正畸/矫治-推簧</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92C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020D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0419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E1D1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用于牙列缺损、牙列缺失的活动修复。</w:t>
            </w:r>
          </w:p>
        </w:tc>
      </w:tr>
      <w:tr w14:paraId="768F3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F7CB2">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FDB0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定制式活动义齿-正畸/矫治-法兰克</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09CD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件</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7FC5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0E4D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E59F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用于牙列缺损、牙列缺失的活动修复。</w:t>
            </w:r>
          </w:p>
        </w:tc>
      </w:tr>
      <w:tr w14:paraId="0C4BA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BF0BD">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B65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定制式活动义齿-正畸/矫治-牵引钩</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82B0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BD76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B78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4159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用于牙列缺损、牙列缺失的活动修复。</w:t>
            </w:r>
          </w:p>
        </w:tc>
      </w:tr>
      <w:tr w14:paraId="62BCD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8EE9B">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7D6A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个性化基台及螺钉</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5325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7E0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4E63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0920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作为牙缺失后颌骨内植入的牙种植体的配套用部件，用于连接、支持和固位修复体或种植体上部结构。</w:t>
            </w:r>
          </w:p>
        </w:tc>
      </w:tr>
      <w:tr w14:paraId="548CE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7B94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29</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C46E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一次性使用医用橡胶手套</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CAB1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双</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9B3D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BB6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6176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保护医生免于接触感染性物质，确保手套无菌，安全。产品规格齐全，含XS等多规格，能满足使用。</w:t>
            </w:r>
          </w:p>
        </w:tc>
      </w:tr>
      <w:tr w14:paraId="00218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1FA9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EF55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正畸粘接剂系统</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B90E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8C2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2459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A1EB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在口腔正畸治疗时用于在牙齿表面上粘接正畸矫治器。</w:t>
            </w:r>
          </w:p>
        </w:tc>
      </w:tr>
      <w:tr w14:paraId="55F2B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8775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B699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正畸用托槽和颊面管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666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副</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AF5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E3D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D7A4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在口腔正畸治疗时用于矫治牙齿畸形。</w:t>
            </w:r>
          </w:p>
        </w:tc>
      </w:tr>
      <w:tr w14:paraId="6D808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481F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32</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3199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牙胶尖</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AA64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盒</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33E8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149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E51A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用于患牙处打孔清洗后填充根管。</w:t>
            </w:r>
          </w:p>
        </w:tc>
      </w:tr>
      <w:tr w14:paraId="163BF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6382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33</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45BC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牙根管塞尖（牙胶尖）</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7E95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盒</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A902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E84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A364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作为根管辅助充填材料用于根管治疗中封闭根管和髓腔。</w:t>
            </w:r>
          </w:p>
        </w:tc>
      </w:tr>
      <w:tr w14:paraId="789D7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93C2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34</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733B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硅橡胶印模材料</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09F5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1A6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0BA9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09BB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用于牙科各种功能性印模。</w:t>
            </w:r>
          </w:p>
        </w:tc>
      </w:tr>
      <w:tr w14:paraId="18BD8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0FA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35</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E90D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光固化复合树脂</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CC13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袋</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B8C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69D9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B125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用于前后牙的直接或间接的修复。</w:t>
            </w:r>
          </w:p>
        </w:tc>
      </w:tr>
      <w:tr w14:paraId="77CD2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FACE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36</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64D5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根管充填材料</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6BA2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盒</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B96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DC4F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737E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与牙胶尖配合使用，密封恒牙列根管。</w:t>
            </w:r>
          </w:p>
        </w:tc>
      </w:tr>
      <w:tr w14:paraId="10415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8B18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37</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A633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齿科藻酸盐印模材料</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7B4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桶</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348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BA14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1602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齿科藻酸盐印模材料适用于制取牙齿和口腔组织印模。</w:t>
            </w:r>
          </w:p>
        </w:tc>
      </w:tr>
      <w:tr w14:paraId="4A139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8CFD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38</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9FE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充气升温装置</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4082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张</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E385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FBFA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麻醉科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D09D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用于通过提供温暖、安全的热空气，帮助患者在手术等临床过程中维持正常体温，提升医疗安全与患者舒适度。配套我院充气升温装置(江门大诚WU-505）使用。</w:t>
            </w:r>
          </w:p>
        </w:tc>
      </w:tr>
      <w:tr w14:paraId="135FE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74B7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39</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21A7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医用升温毯</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AB32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张</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B4D6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FD7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麻醉科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9540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用于手术中保温，配套我院医用升温毯(天津海明SHWT-H型）使用。</w:t>
            </w:r>
          </w:p>
        </w:tc>
      </w:tr>
      <w:tr w14:paraId="63A73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8265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40</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6E94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集成膜式氧合器</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8A4D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515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B72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麻醉科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3691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用于在心脏直视手术或呼吸支持时，暂时替代人体肺脏的功能。</w:t>
            </w:r>
          </w:p>
        </w:tc>
      </w:tr>
      <w:tr w14:paraId="5AB1D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7C85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41</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25C4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一次性使用封堵支气管插管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E105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A4D2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8F6C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麻醉科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7668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用于胸科手术中，通过暂时封堵左肺或右肺的气道实现单肺通气，为手术创造清晰的视野和操作空间。配合单腔气管导管实现肺隔离，术后也能直接恢复双肺通气，避免更换导管的二次损伤。</w:t>
            </w:r>
          </w:p>
        </w:tc>
      </w:tr>
      <w:tr w14:paraId="05367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A53E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42</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CC21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一次性使用麻醉机和呼吸机用呼吸管路套件</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8249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5E3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BBE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麻醉科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9414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用于连接呼吸机或麻醉机与患者建立气体通道的关键无菌耗材，配置齐全，能满足使用。</w:t>
            </w:r>
          </w:p>
        </w:tc>
      </w:tr>
      <w:tr w14:paraId="2D515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EDCE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43</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2082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过氧化氢低温等离子体灭菌器专用灭菌剂</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F3A9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瓶</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FDAC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F0F9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麻醉科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7080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配合我院低温等离子体灭菌器（PS120）使用，对不耐热、不耐湿的精密器械进行灭菌。</w:t>
            </w:r>
          </w:p>
        </w:tc>
      </w:tr>
      <w:tr w14:paraId="7C579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E622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44</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DF9C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一次性使用麻醉面罩</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8099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6E31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444E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麻醉科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8477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通过将面罩紧密覆盖在患者口鼻部，建立一个从麻醉机或呼吸机到患者呼吸道的封闭通道，从而实现气体的高效。</w:t>
            </w:r>
          </w:p>
        </w:tc>
      </w:tr>
      <w:tr w14:paraId="73D38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B884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B572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一次性使用麻醉用针</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FBF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4742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752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麻醉科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9901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用于神经阻滞，规格齐全，满足使用。</w:t>
            </w:r>
          </w:p>
        </w:tc>
      </w:tr>
      <w:tr w14:paraId="7C2E1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53DD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46</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39B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一次性使用人工心肺机体外循环管道包</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C581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528D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8EFE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麻醉科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B75E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用于心脏手术中供人工心肺机连接各个器械组成一个主动脉系统和腔静脉系统回路。配置齐全，能满足使用。</w:t>
            </w:r>
          </w:p>
        </w:tc>
      </w:tr>
      <w:tr w14:paraId="5F992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C651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47</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03B2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一次性多部位脉搏血氧饱和度传感器</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71C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075F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22D5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麻醉科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2267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用于手术病人术中监测血氧饱和度时，对鼻部、耳部、手指、脚趾等多部位监测。</w:t>
            </w:r>
          </w:p>
        </w:tc>
      </w:tr>
      <w:tr w14:paraId="248BD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3F7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48</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7684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电切镜手术电极</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7B08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757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4290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麻醉科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7DE7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用于泌尿外科和妇科手术中对人体组织进行切割、凝血。与电切镜及相关的高频设备配套使用，</w:t>
            </w:r>
          </w:p>
        </w:tc>
      </w:tr>
      <w:tr w14:paraId="7EF39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82F9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49</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E54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一次性使用负压引流袋</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34A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AE0A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20D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麻醉科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1579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用于负压吸引、收集废液用。</w:t>
            </w:r>
          </w:p>
        </w:tc>
      </w:tr>
      <w:tr w14:paraId="238D4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BF73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9F1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持续葡萄糖监测系统</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27DD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支</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2ED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62F5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内分泌科·老年病科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05C9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用于实时监测皮下组织间液葡萄糖浓度，自动生成血糖曲线，高低血糖及时声光报警；支持7天及以上连续监测，数据可存储、导出，兼容医院院内血糖管理系统；低致敏，防水防汗。</w:t>
            </w:r>
          </w:p>
        </w:tc>
      </w:tr>
      <w:tr w14:paraId="41780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93703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51</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B4E5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一次性使用胰岛素泵用储药器</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5090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B329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5291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内分泌科·老年病科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197B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用于向皮下输注胰岛素。适配配套胰岛素泵（型号TruCareIII），医用级透明材质，无菌独立包装，一次性使用。</w:t>
            </w:r>
          </w:p>
        </w:tc>
      </w:tr>
      <w:tr w14:paraId="0C8E4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B0357">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C68A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一次性使用胰岛素泵用输注管路</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3A8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B9CD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4C5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内分泌科·老年病科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67EE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用于向皮下输注胰岛素。适配配套胰岛素泵（型号TruCareIII）。无菌独立包装，一次性使用。</w:t>
            </w:r>
          </w:p>
        </w:tc>
      </w:tr>
      <w:tr w14:paraId="77361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B27A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52</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93B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高频手术电极</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1640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0F0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86D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皮肤科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0857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用于射频腋臭手术的治疗，配合我院高频电灼仪（型号Unicorn I）使用。</w:t>
            </w:r>
          </w:p>
        </w:tc>
      </w:tr>
      <w:tr w14:paraId="58907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A665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53</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9865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一次性使用皮肤点刺针</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16F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1382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A02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皮肤科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F691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用于皮肤点刺、过敏原检测。</w:t>
            </w:r>
          </w:p>
        </w:tc>
      </w:tr>
      <w:tr w14:paraId="54FC7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9679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54</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E96B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透明质酸钠修复敷料</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91B3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贴</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A18B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C42D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皮肤科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1FCE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用于缓解抗炎，减低激光、光子、刷酸医美术后产生的灼热、泛红、刺痛，减轻皮肤炎症反应，抑制炎症后色素沉着概率。</w:t>
            </w:r>
          </w:p>
        </w:tc>
      </w:tr>
      <w:tr w14:paraId="2950C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306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55</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470B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透明质酸钠修护生物膜敷料</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93F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支</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0709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5B32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皮肤科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36DE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用于在体表形成生物防护膜，构建湿性愈合微环境。</w:t>
            </w:r>
          </w:p>
        </w:tc>
      </w:tr>
      <w:tr w14:paraId="5D8BA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8810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56</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0C8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一次性使用无菌注射器 带针</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851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支</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3B8D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65E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皮肤科、呼吸与危重症医学科、门诊手术室</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02FE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用于抽吸液体或在注入液体后立即注射用。带螺纹，防止血液反流到注射器，牢固密闭连接。</w:t>
            </w:r>
          </w:p>
        </w:tc>
      </w:tr>
      <w:tr w14:paraId="3C3EF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DA28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57</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AD86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无菌手术刀片</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93FC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2193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E80A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伤口造口门诊</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A2C5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主要用于慢性伤口清创。独立灭菌包装，规格齐全，能满足使用。</w:t>
            </w:r>
          </w:p>
        </w:tc>
      </w:tr>
      <w:tr w14:paraId="741CC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9CD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58</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CE27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导管鞘组</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1A8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件</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0612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516E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神经内科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DF0C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用于血管介入手术建立通路，解决2型和3型主动脉弓到位难和支撑力不足等问题。导管头端覆盖亲水涂层，产品规格齐全，能满足使用。</w:t>
            </w:r>
          </w:p>
        </w:tc>
      </w:tr>
      <w:tr w14:paraId="0EFA5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9A72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59</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B02F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颅内取栓支架</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F72B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盒</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4E85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BF9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神经内科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F7A9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用于在患者缺血性卒中发作8小时内移除堵塞在颅内大动脉血管内的血栓以达到恢复血流的治疗目的，包括颈内动脉、大脑中动脉的M1和M2段。</w:t>
            </w:r>
          </w:p>
        </w:tc>
      </w:tr>
      <w:tr w14:paraId="42322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F2B5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945A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神经血管微导管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D8B0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FADF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A3C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神经内科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C082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用于一般性血管内操作，在神经血管注入诊断性制剂(如造影剂)，治疗性装置(如支架、弹簧圈)。产品规格齐全，能满足使用。</w:t>
            </w:r>
          </w:p>
        </w:tc>
      </w:tr>
      <w:tr w14:paraId="0AF58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BF6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61</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E91E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手动股动脉压迫止血器</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A83A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A27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F788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神经内科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C00E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用于经股手术后动脉穿刺点闭合止血时使用。压迫器加压后能有效阻止动脉血流喷射。</w:t>
            </w:r>
          </w:p>
        </w:tc>
      </w:tr>
      <w:tr w14:paraId="7DD75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375B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62</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865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远端通路导管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AFEC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68B5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692C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神经内科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56C6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用于一般性血管内使用，包括神经血管和外周血管系统，有助于导入诊断性或治疗装置。产品规格齐全，能满足使用。</w:t>
            </w:r>
          </w:p>
        </w:tc>
      </w:tr>
      <w:tr w14:paraId="2BB30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7506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63</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E319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一次性使用隔离衣</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A0A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件</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FC3D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E6DB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神经内科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81BC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用于普通隔离时一次性使用，产品规格齐全，能满足使用。</w:t>
            </w:r>
          </w:p>
        </w:tc>
      </w:tr>
      <w:tr w14:paraId="68F56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6C6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64</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F7DB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神经外科微血管减压垫片</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4E46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8ADE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08EB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82D5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用于神经外科显微血管减压术，隔垫在颅神经和责任血管之间进行减压，以治疗因颅神经被颅内血管压迫所致的颅神经疾患。永久不吸收，可随意裁扯，具有清晰的CT显像。</w:t>
            </w:r>
          </w:p>
        </w:tc>
      </w:tr>
      <w:tr w14:paraId="47CFE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E9FC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65</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CAF2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医用一次性针电极</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CA3E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枚</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B0B8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1FB4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09BE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用于人体皮下相关部位电信号的采集和传导。</w:t>
            </w:r>
          </w:p>
        </w:tc>
      </w:tr>
      <w:tr w14:paraId="1D762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6B4A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66</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929C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生物膜</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6B6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7C2A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97DB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36E9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用于人体硬脑膜的修复；具有免缝合功能和可吸收性能。</w:t>
            </w:r>
          </w:p>
        </w:tc>
      </w:tr>
      <w:tr w14:paraId="0961B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E90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67</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91C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植入式脊髓神经刺激器</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41F2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6AB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47A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8B6C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用于躯干、四肢的慢性顽固性疼痛的辅助治疗。</w:t>
            </w:r>
          </w:p>
        </w:tc>
      </w:tr>
      <w:tr w14:paraId="4755A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9336D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68</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1F5C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颅骨网板</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7958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张</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378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31D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6F31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用于颅骨缺损的修补，固定颅骨骨瓣，规格型号齐全，能满足各类临床需求。</w:t>
            </w:r>
          </w:p>
        </w:tc>
      </w:tr>
      <w:tr w14:paraId="2906B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0D3AA">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918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颅骨螺钉</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5AFA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枚</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AF96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DA52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2E70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与颅骨网板配合，用于颅骨缺损的修补，规格型号齐全，能满足各类临床需求。</w:t>
            </w:r>
          </w:p>
        </w:tc>
      </w:tr>
      <w:tr w14:paraId="4C8CF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5BB5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69</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5C0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一次性使用脑室外引流装置</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58A9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92A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A732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2E40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用于将脑积液从脑室内引出体外；引流管带硬质管芯，能在穿刺过程中准确到达目标部位，拔除管芯后不变形，能在侧脑室或硬膜下引流通畅。</w:t>
            </w:r>
          </w:p>
        </w:tc>
      </w:tr>
      <w:tr w14:paraId="3EA96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D2A2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70</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CF8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一次性使用血液灌流器</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1F14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支</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864E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784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肾病内科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83C0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用于毒素吸附与清除，直接吸附血液中的中大分子毒素、药物、毒物等；净化血液，改善机体状态；辅助清除体内蓄积的尿素、肌酐、胆红素等代谢废物，减轻器官负担。</w:t>
            </w:r>
          </w:p>
        </w:tc>
      </w:tr>
      <w:tr w14:paraId="1244E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F32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71</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429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透析液过滤器</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180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支</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8EA3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78F9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肾病内科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3A2C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用于清除透析液中的内毒素、细菌与不溶性微粒。配套我院威高透析机（型号DBB-EXA ESS SA）使用。</w:t>
            </w:r>
          </w:p>
        </w:tc>
      </w:tr>
      <w:tr w14:paraId="7ED1C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FD22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72</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2A5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一次性使用单采血液成份分离器</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9518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DA14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335C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输血医学科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417F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用于血液成分采集、分离和回输。适配南格尔HDS 928血液成份分离机。无菌、无热原。</w:t>
            </w:r>
          </w:p>
        </w:tc>
      </w:tr>
      <w:tr w14:paraId="57AA4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0A61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73</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4831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复合补片</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CCF2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张</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170D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6A93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胃肠外科·小儿外科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A4F4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用于切口疝经腹腔镜IPOM手术，补片放置在腹腔内,需带防粘连层避免与胃肠等脏器发生粘连,规格要求齐全，满足使用。</w:t>
            </w:r>
          </w:p>
        </w:tc>
      </w:tr>
      <w:tr w14:paraId="7637B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695F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74</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FF8F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可吸收钉修补固定器</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EAC4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把</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6F0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C8CF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胃肠外科·小儿外科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1BFF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用于切口疝、造口疝、食道裂孔等腹腔镜内置补片手术时固定补片的装置,需要可吸收钉材质。</w:t>
            </w:r>
          </w:p>
        </w:tc>
      </w:tr>
      <w:tr w14:paraId="6DA98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95DE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75</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832E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疝修补网（双面涂钛防粘连）</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ACBF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张</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517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FCE4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胃肠外科·小儿外科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7FA5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用于上下腹边缘疝、膈疝、造口疝、盆底疝等经腹腔镜内置补片,双面均有防粘连层,规格要求齐全，满足使用。</w:t>
            </w:r>
          </w:p>
        </w:tc>
      </w:tr>
      <w:tr w14:paraId="3DFAE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AC71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76</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6462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疝修补补片</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53F5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张</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2EE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0158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胃肠外科·小儿外科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9905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用于青少年疝或有生育要求的腹股沟疝患者,需轻质大网孔型,减少补片与精索致密粘连。</w:t>
            </w:r>
          </w:p>
        </w:tc>
      </w:tr>
      <w:tr w14:paraId="1B7EC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78FA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77</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2A9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经导管植入式无导线起搏系统</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11C8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6217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4D7E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7264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双腔起搏系统，用于感染几率高的需要植入起搏器的患者。</w:t>
            </w:r>
          </w:p>
        </w:tc>
      </w:tr>
      <w:tr w14:paraId="3F7D5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C1E4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78</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E246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ACT(激活全血凝固时间)检测仪配套试管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D4C2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支</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B81B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4FAF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D74E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用于房颤手术过程中，监测肝素用量，防止术中产生血栓形成。配套我院激活全血凝固时间（ACT)检测仪（科仪诚100C型）使用。</w:t>
            </w:r>
          </w:p>
        </w:tc>
      </w:tr>
      <w:tr w14:paraId="7A77C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0E0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79</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633C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主动脉内球囊导管及附件</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4C52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A2B0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3D70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78EB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配套我院主动脉球囊反搏泵（迈柯唯CS100型），辅助改善心肌供血，循环支持，起到在主动脉内球囊反搏的作用。</w:t>
            </w:r>
          </w:p>
        </w:tc>
      </w:tr>
      <w:tr w14:paraId="02E04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9B6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80</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35A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Y形连接器</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B9AA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CDDC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C5DE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EB05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用于冠脉支架手术连接导管，弹簧按压式阀门，通路分流，操作便携、密封不漏液。</w:t>
            </w:r>
          </w:p>
        </w:tc>
      </w:tr>
      <w:tr w14:paraId="7C89E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D8E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81</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8623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造影导丝</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E13A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323E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8E68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AFF4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冠脉造影手术中输送，顺滑通过造影导管开口，支撑性、扭控通过性能好。</w:t>
            </w:r>
          </w:p>
        </w:tc>
      </w:tr>
      <w:tr w14:paraId="0A896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E555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82</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08E4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冠状动脉螺纹球囊扩张导管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CD3F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A9D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8ACD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7120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用于冠脉血管钙化、纤维化狭窄及桥血管狭窄的扩张成形治疗。</w:t>
            </w:r>
          </w:p>
        </w:tc>
      </w:tr>
      <w:tr w14:paraId="42A86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AC2A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83</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F1A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PTCA 球囊扩张导管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A855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FA9E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BBCB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A69B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用于阻断血管闭塞，向血管远端注射药物并防止药物反流。</w:t>
            </w:r>
          </w:p>
        </w:tc>
      </w:tr>
      <w:tr w14:paraId="09E7C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3984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84</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A4A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自粘弹力绷带</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54DA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0C3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E6B3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2D8F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用于动脉止血的压力绷带。</w:t>
            </w:r>
          </w:p>
        </w:tc>
      </w:tr>
      <w:tr w14:paraId="4717E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186F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85</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D5B0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一次性使用阻抗电极</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D7D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2580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740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AF01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用于测量生物阻抗，配套医院无创血液动力学检测仪（麦德安BioZ-2011-101）使用。</w:t>
            </w:r>
          </w:p>
        </w:tc>
      </w:tr>
      <w:tr w14:paraId="28E5A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4E517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86</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86ED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生物可降解卵圆孔未闭合封堵器</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1666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0F0F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BC2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25AC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用于18周岁以上卵圆孔未闭合并不明原因卒中、顽固性偏头痛患者，尤其适合年轻人群、镍金属过敏者。可降解材料，植入体内无永久异物残留；可安全耐受3.0T核磁共振复查。规格齐全，能满足使用。</w:t>
            </w:r>
          </w:p>
        </w:tc>
      </w:tr>
      <w:tr w14:paraId="421BB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78CD3">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E88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可降解封堵术介入输送系统</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C846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F57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6A42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E4AE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适用于辅助输送可降解封堵器进入心腔内，建立血管内器械的经皮进入通路。配合生物可降解卵圆孔未闭合封堵器输送相关套件。</w:t>
            </w:r>
          </w:p>
        </w:tc>
      </w:tr>
      <w:tr w14:paraId="7C627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906E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87</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F4C7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双叶式机械心脏瓣膜</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9BA3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枚</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8F9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A816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32BA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用于先天性和后天性原因损坏的心脏瓣膜置换术，也适合再次瓣膜替换术。</w:t>
            </w:r>
          </w:p>
        </w:tc>
      </w:tr>
      <w:tr w14:paraId="63656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1C3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88</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E502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心脏外科生物补片</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D6E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29B7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1202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B1FC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用于心外科房间隔、室间隔、主动脉根部、右室流出道、瓣环、心肌和心包的修复。规格齐全，满足使用。</w:t>
            </w:r>
          </w:p>
        </w:tc>
      </w:tr>
      <w:tr w14:paraId="06A5F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BEBA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89</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009B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一次性使用心脏停跳液灌注管路</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B21A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F7D9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5EB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E7E8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用于心内直视手术中主动脉根部穿刺灌注冷停博液的一次性使用装置。</w:t>
            </w:r>
          </w:p>
        </w:tc>
      </w:tr>
      <w:tr w14:paraId="2391F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9395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90</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F074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一次性使用体外循环配套静脉插管1</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02E2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支</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C13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FB5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F03B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用于心脏微创手术，插入股静脉作体外循环血液引流用。</w:t>
            </w:r>
          </w:p>
        </w:tc>
      </w:tr>
      <w:tr w14:paraId="3525A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265CB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91</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F159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一次性使用体外循环配套动脉插管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4CF9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支</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D89D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661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F852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用于心内直视手术，建立体外循环用。</w:t>
            </w:r>
          </w:p>
        </w:tc>
      </w:tr>
      <w:tr w14:paraId="0DD70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C8EB7">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CABC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一次性使用体外循环配套静脉插管2</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F2D2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支</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F9A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E98A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E2D4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用于心内直视手术，作体外循环血液引流用。</w:t>
            </w:r>
          </w:p>
        </w:tc>
      </w:tr>
      <w:tr w14:paraId="6B5F6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5B5F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92</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0D0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分支型术中支架系统</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3E2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334F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7610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B62D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用于Standford A型和常规介入无法治疗的复杂Standford B型主动脉夹层手术当中，分支型术中支架系统其侧支结构需便于支架植入左锁骨下动脉。</w:t>
            </w:r>
          </w:p>
        </w:tc>
      </w:tr>
      <w:tr w14:paraId="5B3A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B3EB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93</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FC98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人工血管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10CA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E895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3C00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心血管外科、肾病内科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7A98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1.用于主动脉及其分支血管的置换或旁路手术。</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2.用于为慢性肾病患者血液透析提供可反复穿刺的动静脉瘘（AVG），替代自体血管通路。</w:t>
            </w:r>
          </w:p>
        </w:tc>
      </w:tr>
      <w:tr w14:paraId="6A5D8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0029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94</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A856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肺动脉取栓支架系统</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7383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7B5C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B7AA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B663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有下述情况之一的急性高危肺栓塞或伴临床恶化的中危肺栓塞的经导管血栓清除治疗：（1）有肺动脉主干或主要分支血栓，并存在高出血风险或溶栓禁忌的患者；（2）有肺动脉主干或主要分支血栓，并经溶栓或积极的内科治疗无效的患者。具有肺动脉取栓支架和血栓抽吸导管两部分。</w:t>
            </w:r>
          </w:p>
        </w:tc>
      </w:tr>
      <w:tr w14:paraId="62CCC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1BCC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95</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61E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腹主动脉覆膜支架系统</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B0D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90FF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3919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27AC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用于肾下型腹主动脉瘤的腔内治疗。</w:t>
            </w:r>
          </w:p>
        </w:tc>
      </w:tr>
      <w:tr w14:paraId="41011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CA8A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96</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5708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心脏固定器</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2504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611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714D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AE9E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用于在心脏不停跳的情况下，进行搭桥手术时，在跳动的心脏上，在目标血管处建立一个稳定的区域。</w:t>
            </w:r>
          </w:p>
        </w:tc>
      </w:tr>
      <w:tr w14:paraId="74364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4F1F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97</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9355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一次性使用动脉插管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1F4F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4614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4E5D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7643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用于实施心脏直视手术时进行体外循环的病人，作为连接患者动脉与体外循环管路的血液通路使用。</w:t>
            </w:r>
          </w:p>
        </w:tc>
      </w:tr>
      <w:tr w14:paraId="1D021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4E03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98</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01A0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一次性使用灌注管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DDA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1940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E39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4CCC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用于实施心脏直视手术时进行体外循环的病人,连接患者动脉与血液停跳液灌注装置。</w:t>
            </w:r>
          </w:p>
        </w:tc>
      </w:tr>
      <w:tr w14:paraId="5FC25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2A80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99</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4F59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介入人工生物心脏瓣膜</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31F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54FC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C6B3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7D67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经心脏团队结合评分系统评估后认为不适合进行外科手术的自体主动脉瓣病变患者（预估外科手术导致的30天死亡风险或严重、不可逆转的并发症超过50%），包括主动脉瓣狭窄患者、主动脉瓣膜关闭不全患者、或上述两种情况并存。</w:t>
            </w:r>
          </w:p>
        </w:tc>
      </w:tr>
      <w:tr w14:paraId="520B6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F36D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B9AB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双腔取栓导管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BDAB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C5E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0C9B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511F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用栓塞切除术和血栓切除术时去除栓塞和血栓。不用于移除纤维化、附着或钙化质。</w:t>
            </w:r>
          </w:p>
        </w:tc>
      </w:tr>
      <w:tr w14:paraId="3DEB2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A47C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101</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2C44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多功能手术解剖器</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D94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861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2BC3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胸外科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4B52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用于临床腔镜和开放手术中组织的切割、分离，血管夹闭止血、组织凝固。</w:t>
            </w:r>
          </w:p>
        </w:tc>
      </w:tr>
      <w:tr w14:paraId="673D9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A8E2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102</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9A70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吻合口加固修补片</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E2E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B69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3DB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胸外科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9E89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用于肺部手术、食道手术切割吻合部位的加固和防止漏气，降低术后吻合口漏、出血、残端漏气等相关并发症。规格齐全，能满足使用。</w:t>
            </w:r>
          </w:p>
        </w:tc>
      </w:tr>
      <w:tr w14:paraId="300BD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7825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103</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1D41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囊袋张力环</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925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D31E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F68C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眼科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ED90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用于白内障手术中维持晶状体囊袋的圆形轮廓与张力，对抗悬韧带松弛/断裂导致的囊袋塌陷，为人工晶状体提供稳定的植入载体。无菌提供，一次性使用。</w:t>
            </w:r>
          </w:p>
        </w:tc>
      </w:tr>
      <w:tr w14:paraId="299B4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ED59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104</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A096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超声眼科晶状体摘除和玻璃体切除设备及附件</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3E1A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4D6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42FE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眼科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2B7F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白内障超声乳化摘除与玻璃体切除；用于眼前节白内障手术与眼后节玻璃体视网膜手术等。配套我院超声眼科晶状体摘除和玻璃体切除设备及附件（爱尔康Constellation）使用。一次性使用，规格齐全，能满足临床使用。</w:t>
            </w:r>
          </w:p>
        </w:tc>
      </w:tr>
      <w:tr w14:paraId="19390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D233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105</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239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一次性使用眼科穿刺器</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6918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支</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1565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1360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眼科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025F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玻璃体切割等眼科手术中，在巩膜平坦部建立微创器械通道，为眼内操作器械（玻切头、激光光纤、灌注管路等）提供进出路径。配套我院超声眼科晶状体摘除和玻璃体切除设备及附件（爱尔康Constellation）使用。一次性使用，规格齐全，能满足临床使用。</w:t>
            </w:r>
          </w:p>
        </w:tc>
      </w:tr>
      <w:tr w14:paraId="34164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F941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106</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606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一次性使用眼内激光光纤</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AAAB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1B2A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9D50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眼科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CCED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玻璃体视网膜手术中的眼内激光光凝，封堵视网膜裂孔、治疗糖尿病视网膜病变、视网膜静脉阻塞等眼底疾病，实现视网膜复位与病变治疗。配套我院超声眼科晶状体摘除和玻璃体切除设备及附件（爱尔康Constellation）使用。无菌提供，一次性使用。规格齐全，能满足临床使用。</w:t>
            </w:r>
          </w:p>
        </w:tc>
      </w:tr>
      <w:tr w14:paraId="48500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1B8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107</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D4CF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硅油</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DBAC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盒</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4C5E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779A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眼科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1432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玻璃体视网膜手术的长效眼内填塞，注入玻璃体腔后凭借表面张力与浮力，对视网膜提供持续稳定的顶压作用，促进脱离的视网膜复位与愈合，用于治疗复杂视网膜脱离、增殖性玻璃体视网膜病变、糖尿病视网膜病变伴视网膜脱离等严重眼底疾病。符合眼科光学眼内填充物标准与医用硅油标准，无菌灌装，无热原。</w:t>
            </w:r>
          </w:p>
        </w:tc>
      </w:tr>
      <w:tr w14:paraId="02E08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C79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108</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B570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眼科用重水</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9F0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盒</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96ED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21EF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眼科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32EC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用于眼科手术中临时使用的眼内填塞。一次性使用。</w:t>
            </w:r>
          </w:p>
        </w:tc>
      </w:tr>
      <w:tr w14:paraId="2094F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AFD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109</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2AE2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眼用全氟丙烷气体</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FB40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支</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AFF8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2A05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眼科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5EE3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用于玻璃体视网膜手术的长效眼内填充。符合眼科填充气体通用技术要求，无需二次手术取出；无菌包装，一次性使用。</w:t>
            </w:r>
          </w:p>
        </w:tc>
      </w:tr>
      <w:tr w14:paraId="138EB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20C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110</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BE0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义眼用羟基磷灰石生物陶瓷</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2D90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枚</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F534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3F9B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眼科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7FA8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用于眼球摘除或眼内容物剜除术后眶内植入，填补摘除眼球后留下的空缺，撑起眼皮，避免面部塌陷变形。</w:t>
            </w:r>
          </w:p>
        </w:tc>
      </w:tr>
      <w:tr w14:paraId="1E058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2FBC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111</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E5F0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穴位压力刺激贴</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FB4C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贴</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BAED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C4CD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中医科·肛肠科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1423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依托王不留行籽按压刺激穴位，疏通经络、调和气血，辅助缓解肛周术后疼痛、便秘等症状；产品亲肤低敏、粘贴易用，符合医用卫生要求。</w:t>
            </w:r>
          </w:p>
        </w:tc>
      </w:tr>
      <w:tr w14:paraId="4F679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7F0C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112</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0442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中心静脉套件</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852D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7B3E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827E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肿瘤科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00A9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适用于中心静脉导管的置管固定以及后期换药用。套件维护用品齐全，能满足使用。</w:t>
            </w:r>
          </w:p>
        </w:tc>
      </w:tr>
      <w:tr w14:paraId="7B567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805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113</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111E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离心泵头</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D62A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DA0E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51E8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重症医学科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74C2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用于心脏大血管外科手术配套心肺转流系统、ECMO过程中配套体外膜式氧合设备，插管与体外循环设备配件相连，将血液引出体外。配套我院心肺转流系统离心泵（索林SCP/SCPC）配套使用。</w:t>
            </w:r>
          </w:p>
        </w:tc>
      </w:tr>
      <w:tr w14:paraId="61EBB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0736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114</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8796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膜式氧合器</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FE2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B529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BCD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重症医学科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3FF8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用于术后呼吸支持应用中（如ECMO），在体外循环中代替肺的功能（氧气转换和二氧化碳去除）以及控制动/静脉温度。配套我院心肺转流系统离心泵（索林SCP/SCPC）配套使用。</w:t>
            </w:r>
          </w:p>
        </w:tc>
      </w:tr>
      <w:tr w14:paraId="6B366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1C7E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115</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33B3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一次性使用无菌导管鞘</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035F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51B5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69BD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重症医学科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D627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用于辅助体外膜肺氧合治疗的动静脉插管置入，经皮微创。规格齐全，能满足使用。</w:t>
            </w:r>
          </w:p>
        </w:tc>
      </w:tr>
      <w:tr w14:paraId="26728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3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BED5A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116</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8793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一次性使用动静脉插管（动脉）</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783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支</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1AE3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089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重症医学科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CB4C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用于心脏大血管外科手术配套心肺转流系统、ECMO过程中配套体外膜式氧合设备，通过该插管与体外循环设备配件相连，插入血管引流时使用。规格齐全，能满足使用。</w:t>
            </w:r>
          </w:p>
        </w:tc>
      </w:tr>
      <w:tr w14:paraId="4B5D7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7A57B">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C93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一次性使用动静脉插管（静脉）</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3951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支</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51C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CBF3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重症医学科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F7CF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用于心脏大血管外科手术配套心肺转流系统、ECMO过程中配套体外膜式氧合设备，通过该插管与体外循环设备配件相连，插入血管灌注时使用。规格齐全，能满足使用。</w:t>
            </w:r>
          </w:p>
        </w:tc>
      </w:tr>
      <w:tr w14:paraId="1CC45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9630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117</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D89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吸痰式气管切开插管及配件</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7031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98BA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504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重症医学科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F00D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用于维持气管切开患者的气道畅通。吸痰管可吸收气管切开插管套囊与声门之间聚集的受污染的黏液和声门下分泌物，预防肺部感染及呼吸机相关肺炎的发生，产品一次性使用。规格齐全，能满足使用。</w:t>
            </w:r>
          </w:p>
        </w:tc>
      </w:tr>
      <w:tr w14:paraId="3C927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8E6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118</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77E7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连续性血液净化管路</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5AE5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4109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23EF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重症医学科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E402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血液净化治疗（包括血液透析、血液滤过、血液透析滤过、血浆置换和人工肝）的专用耗材，连接透析插管血液净化设备，实现多种模式的连续血液净化治疗。配套我院连续性血液净化设备（费森尤斯multi(versionmultiFiltrate PRO)）使用。</w:t>
            </w:r>
          </w:p>
        </w:tc>
      </w:tr>
      <w:tr w14:paraId="54B37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6035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119</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1A41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空心纤维血液透析滤过器</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9874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44AE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6488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重症医学科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30E0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血液净化治疗（包括血液透析、血液滤过、血液透析滤过、血浆置换和人工肝）的专用耗材，与血液净化管路连接，除血浆置换及人工肝之外的连续血液净化治疗。配套我院连续性血液净化设备（费森尤斯multi(versionmultiFiltrate PRO)）使用。</w:t>
            </w:r>
          </w:p>
        </w:tc>
      </w:tr>
      <w:tr w14:paraId="13BDD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FC6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120</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EA6C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血浆置换用管路</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3E8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98F5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7A03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重症医学科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60EA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用于血液净化治疗（包括血液透析、血液滤过、血液透析滤过、血浆置换和人工肝）专用耗材，配套我院连续性血液净化设备（费森尤斯multi(versionmultiFiltrate PRO)）使用。</w:t>
            </w:r>
          </w:p>
        </w:tc>
      </w:tr>
      <w:tr w14:paraId="4C464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C261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121</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F019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血浆滤过器Plasma Filters</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3D7B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1B16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否</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4DC1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重症医学科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94E1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用于血液净化治疗（包括血浆置换和人工肝）专用耗材，配套我院连续性血液净化设备（费森尤斯multi(versionmultiFiltrate PRO)）使用。</w:t>
            </w:r>
          </w:p>
        </w:tc>
      </w:tr>
      <w:tr w14:paraId="5740C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DD4E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122</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B2F5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医用面罩式雾化器</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DD70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341B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6488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儿科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4BBE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用于药液雾化，制成微小颗粒气溶胶，经面罩气道吸入，直达呼吸道病灶；湿化气道、解痉平喘、抗炎祛痰。雾化器材质要符合儿童使用相关要求。</w:t>
            </w:r>
          </w:p>
        </w:tc>
      </w:tr>
      <w:tr w14:paraId="31A63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69ED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123</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3AE8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一氧化氮检测单元</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1E1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人份</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F1ED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FB1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儿科、呼吸与危重症医学科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8B6A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用于气道呼气一氧化氮检测。</w:t>
            </w:r>
          </w:p>
        </w:tc>
      </w:tr>
      <w:tr w14:paraId="0495D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FD55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124</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2667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神经监护气管插管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77A0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9B7A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28CF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肝胆外科·甲乳外科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86DC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用于甲状腺手术中实时监测喉返神经等重要神经功能状态，预警神经损伤风险，减少术后声音嘶哑、呼吸困难等并发症；需内置精准神经监测电极，兼容主流神经监护设备。</w:t>
            </w:r>
          </w:p>
        </w:tc>
      </w:tr>
      <w:tr w14:paraId="00FBB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DABD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125</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63ED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一次性使用血液回收耗材</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CC1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D7FF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2F46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麻醉科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184A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用于患者自体血液的收集、分离和回输。</w:t>
            </w:r>
          </w:p>
        </w:tc>
      </w:tr>
      <w:tr w14:paraId="2B2E8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8D6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126</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1E0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热化疗循环管路</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7960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5BFD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DEB2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胃肠外科·小儿外科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F1B5E">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用于胃结直肠腹膜转移癌,恶性腹水,热灌注治疗,一次性使用。</w:t>
            </w:r>
          </w:p>
        </w:tc>
      </w:tr>
      <w:tr w14:paraId="55526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8B64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127</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302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一次性使用磁电定位压力监测脉冲电场消融导管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CBCC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412C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B4EB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7676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用于房颤消融治疗，减少心房食道瘘，肺静脉狭窄，膈神经损伤等发生几率。</w:t>
            </w:r>
          </w:p>
        </w:tc>
      </w:tr>
      <w:tr w14:paraId="2F775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723BE">
            <w:pPr>
              <w:jc w:val="center"/>
              <w:rPr>
                <w:rFonts w:hint="eastAsia" w:ascii="宋体" w:hAnsi="宋体" w:eastAsia="宋体" w:cs="宋体"/>
                <w:i w:val="0"/>
                <w:iCs w:val="0"/>
                <w:color w:val="000000"/>
                <w:sz w:val="18"/>
                <w:szCs w:val="18"/>
                <w:highlight w:val="none"/>
                <w:u w:val="none"/>
              </w:rPr>
            </w:pPr>
          </w:p>
        </w:tc>
        <w:tc>
          <w:tcPr>
            <w:tcW w:w="72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CA3BB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一次性使用磁定位环形标测导管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F932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F2B6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C48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C9B0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用于房颤术中心房基质标测。</w:t>
            </w:r>
          </w:p>
        </w:tc>
      </w:tr>
      <w:tr w14:paraId="68E17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6F8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128</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5CFD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一次性使用心脏脉冲电场消融导管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731B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AB7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36AD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5B62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用于房颤消融治疗，减少心房食道瘘，肺静脉狭窄，膈神经损伤等发生几率。</w:t>
            </w:r>
          </w:p>
        </w:tc>
      </w:tr>
      <w:tr w14:paraId="129DA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F920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129</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B85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一次性使用血管内成像导管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8ED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EAA6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5510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A56F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用于冠脉血管成像检查，适用于血管直径2.0mm～3.5mm的冠状动脉；产品具有亲水涂层，成像导管无需配备注射器进行使用；导管无需经冲洗液预冲洗。</w:t>
            </w:r>
          </w:p>
        </w:tc>
      </w:tr>
      <w:tr w14:paraId="60284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2A35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130</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44C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压力微导管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7CB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D012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CA9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心血管内科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42D4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用于冠状动脉原发狭窄、支架内再狭窄、分叉病变等各类冠脉病变的FFR压力检测，判断狭窄是否存在缺血意义，指导介入手术策略制定。</w:t>
            </w:r>
          </w:p>
        </w:tc>
      </w:tr>
      <w:tr w14:paraId="570DC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B80F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131</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CB91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机械血栓切除系统</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9C97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91DF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67E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2670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用于除心肺、冠状动脉和脑循环之外的血管内新鲜、亚急性和慢性阻塞中的血栓、血栓栓塞物和动脉粥样硬化物质的经皮腔内切除。</w:t>
            </w:r>
          </w:p>
        </w:tc>
      </w:tr>
      <w:tr w14:paraId="0CB9F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D306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132</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D8CE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静脉腔内射频闭合设备</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18F2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AE1A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6F84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1627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用于下肢大隐静脉曲张的治疗。</w:t>
            </w:r>
          </w:p>
        </w:tc>
      </w:tr>
      <w:tr w14:paraId="0EEA3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9125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133</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706D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一次性使用无菌双极射频消融钳</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E6FD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0BF2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FE8E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CAD3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用于非内窥镜心、胸外科手术中对心房颤动的消融。</w:t>
            </w:r>
          </w:p>
        </w:tc>
      </w:tr>
      <w:tr w14:paraId="77CB3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9B42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134</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F211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一次性使用外周血管血栓抽吸导管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56AD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8A3F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818A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心血管外科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740A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用于外周血管动静脉血栓狭窄或闭塞性病变，或者经皮腔内血管成形术（PTA）、支架术（PTAS）的血栓病变时需要预先进行血栓减容治疗。</w:t>
            </w:r>
          </w:p>
        </w:tc>
      </w:tr>
      <w:tr w14:paraId="19F69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68C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135</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C9BE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一次性使用冷冻消融针</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8375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1DA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0E51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肿瘤科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7877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适用于实体肿瘤的冷冻消融治疗。规格齐全，能满足使用。</w:t>
            </w:r>
          </w:p>
        </w:tc>
      </w:tr>
      <w:tr w14:paraId="0A59C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436F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136</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C448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一次性使用阻抗电极</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11E2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片</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43B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是</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96E7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重症医学科</w:t>
            </w:r>
          </w:p>
        </w:tc>
        <w:tc>
          <w:tcPr>
            <w:tcW w:w="2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D69C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用于连续动态监测心功能，且不宜行有创操作的患者。</w:t>
            </w:r>
          </w:p>
        </w:tc>
      </w:tr>
    </w:tbl>
    <w:p w14:paraId="0D1E965D">
      <w:pPr>
        <w:keepNext w:val="0"/>
        <w:keepLines w:val="0"/>
        <w:pageBreakBefore w:val="0"/>
        <w:widowControl w:val="0"/>
        <w:kinsoku/>
        <w:wordWrap/>
        <w:overflowPunct/>
        <w:topLinePunct w:val="0"/>
        <w:autoSpaceDE/>
        <w:autoSpaceDN/>
        <w:bidi w:val="0"/>
        <w:adjustRightInd/>
        <w:snapToGrid/>
        <w:spacing w:before="400"/>
        <w:ind w:firstLine="482" w:firstLineChars="200"/>
        <w:textAlignment w:val="auto"/>
        <w:rPr>
          <w:rFonts w:hint="eastAsia"/>
          <w:b/>
          <w:bCs/>
          <w:sz w:val="24"/>
          <w:szCs w:val="22"/>
          <w:highlight w:val="none"/>
          <w:lang w:val="en-US" w:eastAsia="zh-CN"/>
        </w:rPr>
      </w:pPr>
      <w:r>
        <w:rPr>
          <w:rFonts w:hint="eastAsia" w:ascii="黑体" w:hAnsi="黑体" w:eastAsia="黑体" w:cs="黑体"/>
          <w:b/>
          <w:bCs/>
          <w:sz w:val="24"/>
          <w:szCs w:val="22"/>
          <w:highlight w:val="none"/>
          <w:lang w:val="en-US" w:eastAsia="zh-CN"/>
        </w:rPr>
        <w:t>四</w:t>
      </w:r>
      <w:r>
        <w:rPr>
          <w:rFonts w:hint="eastAsia" w:ascii="黑体" w:hAnsi="黑体" w:eastAsia="黑体" w:cs="黑体"/>
          <w:b/>
          <w:bCs/>
          <w:sz w:val="24"/>
          <w:szCs w:val="22"/>
          <w:highlight w:val="none"/>
        </w:rPr>
        <w:t>、</w:t>
      </w:r>
      <w:r>
        <w:rPr>
          <w:rFonts w:hint="eastAsia" w:ascii="黑体" w:hAnsi="黑体" w:eastAsia="黑体" w:cs="黑体"/>
          <w:b/>
          <w:bCs/>
          <w:sz w:val="24"/>
          <w:szCs w:val="22"/>
          <w:highlight w:val="none"/>
          <w:lang w:eastAsia="zh-CN"/>
        </w:rPr>
        <w:t>推荐</w:t>
      </w:r>
      <w:r>
        <w:rPr>
          <w:rFonts w:hint="eastAsia" w:ascii="黑体" w:hAnsi="黑体" w:eastAsia="黑体" w:cs="黑体"/>
          <w:b/>
          <w:bCs/>
          <w:sz w:val="24"/>
          <w:szCs w:val="22"/>
          <w:highlight w:val="none"/>
        </w:rPr>
        <w:t>供应商资格要求</w:t>
      </w:r>
    </w:p>
    <w:p w14:paraId="55AAE65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rPr>
      </w:pPr>
      <w:r>
        <w:rPr>
          <w:rFonts w:hint="eastAsia" w:ascii="仿宋" w:hAnsi="仿宋" w:eastAsia="仿宋" w:cs="仿宋"/>
          <w:sz w:val="24"/>
          <w:szCs w:val="22"/>
          <w:highlight w:val="none"/>
        </w:rPr>
        <w:t>1</w:t>
      </w:r>
      <w:r>
        <w:rPr>
          <w:rFonts w:hint="eastAsia" w:ascii="仿宋" w:hAnsi="仿宋" w:eastAsia="仿宋" w:cs="仿宋"/>
          <w:sz w:val="24"/>
          <w:szCs w:val="22"/>
          <w:highlight w:val="none"/>
          <w:lang w:val="en-US" w:eastAsia="zh-CN"/>
        </w:rPr>
        <w:t>.</w:t>
      </w:r>
      <w:r>
        <w:rPr>
          <w:rFonts w:hint="eastAsia" w:ascii="仿宋" w:hAnsi="仿宋" w:eastAsia="仿宋" w:cs="仿宋"/>
          <w:sz w:val="24"/>
          <w:szCs w:val="24"/>
          <w:highlight w:val="none"/>
        </w:rPr>
        <w:t>具有独立承担民事责任的能力</w:t>
      </w:r>
      <w:r>
        <w:rPr>
          <w:rFonts w:hint="eastAsia" w:ascii="仿宋" w:hAnsi="仿宋" w:eastAsia="仿宋" w:cs="仿宋"/>
          <w:sz w:val="24"/>
          <w:szCs w:val="22"/>
          <w:highlight w:val="none"/>
        </w:rPr>
        <w:t>；</w:t>
      </w:r>
    </w:p>
    <w:p w14:paraId="0187B4B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rPr>
      </w:pPr>
      <w:r>
        <w:rPr>
          <w:rFonts w:hint="eastAsia" w:ascii="仿宋" w:hAnsi="仿宋" w:eastAsia="仿宋" w:cs="仿宋"/>
          <w:sz w:val="24"/>
          <w:szCs w:val="22"/>
          <w:highlight w:val="none"/>
        </w:rPr>
        <w:t>2</w:t>
      </w:r>
      <w:r>
        <w:rPr>
          <w:rFonts w:hint="eastAsia" w:ascii="仿宋" w:hAnsi="仿宋" w:eastAsia="仿宋" w:cs="仿宋"/>
          <w:sz w:val="24"/>
          <w:szCs w:val="22"/>
          <w:highlight w:val="none"/>
          <w:lang w:val="en-US" w:eastAsia="zh-CN"/>
        </w:rPr>
        <w:t>.</w:t>
      </w:r>
      <w:r>
        <w:rPr>
          <w:rFonts w:hint="eastAsia" w:ascii="仿宋" w:hAnsi="仿宋" w:eastAsia="仿宋" w:cs="仿宋"/>
          <w:sz w:val="24"/>
          <w:szCs w:val="22"/>
          <w:highlight w:val="none"/>
        </w:rPr>
        <w:t>具有良好的商业信誉和健全的财务会计制度；</w:t>
      </w:r>
    </w:p>
    <w:p w14:paraId="169CBA0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rPr>
      </w:pPr>
      <w:r>
        <w:rPr>
          <w:rFonts w:hint="eastAsia" w:ascii="仿宋" w:hAnsi="仿宋" w:eastAsia="仿宋" w:cs="仿宋"/>
          <w:sz w:val="24"/>
          <w:szCs w:val="22"/>
          <w:highlight w:val="none"/>
        </w:rPr>
        <w:t>3</w:t>
      </w:r>
      <w:r>
        <w:rPr>
          <w:rFonts w:hint="eastAsia" w:ascii="仿宋" w:hAnsi="仿宋" w:eastAsia="仿宋" w:cs="仿宋"/>
          <w:sz w:val="24"/>
          <w:szCs w:val="22"/>
          <w:highlight w:val="none"/>
          <w:lang w:val="en-US" w:eastAsia="zh-CN"/>
        </w:rPr>
        <w:t>.</w:t>
      </w:r>
      <w:r>
        <w:rPr>
          <w:rFonts w:hint="eastAsia" w:ascii="仿宋" w:hAnsi="仿宋" w:eastAsia="仿宋" w:cs="仿宋"/>
          <w:sz w:val="24"/>
          <w:szCs w:val="22"/>
          <w:highlight w:val="none"/>
        </w:rPr>
        <w:t>具有履行合同所必需的设备和专业技术能力；</w:t>
      </w:r>
    </w:p>
    <w:p w14:paraId="21E045C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rPr>
      </w:pPr>
      <w:r>
        <w:rPr>
          <w:rFonts w:hint="eastAsia" w:ascii="仿宋" w:hAnsi="仿宋" w:eastAsia="仿宋" w:cs="仿宋"/>
          <w:sz w:val="24"/>
          <w:szCs w:val="22"/>
          <w:highlight w:val="none"/>
        </w:rPr>
        <w:t>4</w:t>
      </w:r>
      <w:r>
        <w:rPr>
          <w:rFonts w:hint="eastAsia" w:ascii="仿宋" w:hAnsi="仿宋" w:eastAsia="仿宋" w:cs="仿宋"/>
          <w:sz w:val="24"/>
          <w:szCs w:val="22"/>
          <w:highlight w:val="none"/>
          <w:lang w:val="en-US" w:eastAsia="zh-CN"/>
        </w:rPr>
        <w:t>.</w:t>
      </w:r>
      <w:r>
        <w:rPr>
          <w:rFonts w:hint="eastAsia" w:ascii="仿宋" w:hAnsi="仿宋" w:eastAsia="仿宋" w:cs="仿宋"/>
          <w:sz w:val="24"/>
          <w:szCs w:val="22"/>
          <w:highlight w:val="none"/>
        </w:rPr>
        <w:t>具有依法缴纳税收和社会保障资金的良好记录；</w:t>
      </w:r>
    </w:p>
    <w:p w14:paraId="3E2B9AE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rPr>
      </w:pPr>
      <w:r>
        <w:rPr>
          <w:rFonts w:hint="eastAsia" w:ascii="仿宋" w:hAnsi="仿宋" w:eastAsia="仿宋" w:cs="仿宋"/>
          <w:sz w:val="24"/>
          <w:szCs w:val="22"/>
          <w:highlight w:val="none"/>
        </w:rPr>
        <w:t>5</w:t>
      </w:r>
      <w:r>
        <w:rPr>
          <w:rFonts w:hint="eastAsia" w:ascii="仿宋" w:hAnsi="仿宋" w:eastAsia="仿宋" w:cs="仿宋"/>
          <w:sz w:val="24"/>
          <w:szCs w:val="22"/>
          <w:highlight w:val="none"/>
          <w:lang w:val="en-US" w:eastAsia="zh-CN"/>
        </w:rPr>
        <w:t>.</w:t>
      </w:r>
      <w:r>
        <w:rPr>
          <w:rFonts w:hint="eastAsia" w:ascii="仿宋" w:hAnsi="仿宋" w:eastAsia="仿宋" w:cs="仿宋"/>
          <w:sz w:val="24"/>
          <w:szCs w:val="22"/>
          <w:highlight w:val="none"/>
        </w:rPr>
        <w:t>参加本次采购活动前三年内，在经营活动中没有重大违法记录；</w:t>
      </w:r>
    </w:p>
    <w:p w14:paraId="616CC6B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rPr>
      </w:pPr>
      <w:r>
        <w:rPr>
          <w:rFonts w:hint="eastAsia" w:ascii="仿宋" w:hAnsi="仿宋" w:eastAsia="仿宋" w:cs="仿宋"/>
          <w:sz w:val="24"/>
          <w:szCs w:val="22"/>
          <w:highlight w:val="none"/>
        </w:rPr>
        <w:t>6</w:t>
      </w:r>
      <w:r>
        <w:rPr>
          <w:rFonts w:hint="eastAsia" w:ascii="仿宋" w:hAnsi="仿宋" w:eastAsia="仿宋" w:cs="仿宋"/>
          <w:sz w:val="24"/>
          <w:szCs w:val="22"/>
          <w:highlight w:val="none"/>
          <w:lang w:val="en-US" w:eastAsia="zh-CN"/>
        </w:rPr>
        <w:t>.</w:t>
      </w:r>
      <w:r>
        <w:rPr>
          <w:rFonts w:hint="eastAsia" w:ascii="仿宋" w:hAnsi="仿宋" w:eastAsia="仿宋" w:cs="仿宋"/>
          <w:sz w:val="24"/>
          <w:szCs w:val="22"/>
          <w:highlight w:val="none"/>
        </w:rPr>
        <w:t>法律、行政法规规定的其他条件；</w:t>
      </w:r>
    </w:p>
    <w:p w14:paraId="55F000A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rPr>
      </w:pPr>
      <w:r>
        <w:rPr>
          <w:rFonts w:hint="eastAsia" w:ascii="仿宋" w:hAnsi="仿宋" w:eastAsia="仿宋" w:cs="仿宋"/>
          <w:sz w:val="24"/>
          <w:szCs w:val="22"/>
          <w:highlight w:val="none"/>
          <w:lang w:val="en-US" w:eastAsia="zh-CN"/>
        </w:rPr>
        <w:t>7.</w:t>
      </w:r>
      <w:r>
        <w:rPr>
          <w:rFonts w:hint="eastAsia" w:ascii="仿宋" w:hAnsi="仿宋" w:eastAsia="仿宋" w:cs="仿宋"/>
          <w:sz w:val="24"/>
          <w:szCs w:val="22"/>
          <w:highlight w:val="none"/>
        </w:rPr>
        <w:t>若</w:t>
      </w:r>
      <w:r>
        <w:rPr>
          <w:rFonts w:hint="eastAsia" w:ascii="仿宋" w:hAnsi="仿宋" w:eastAsia="仿宋" w:cs="仿宋"/>
          <w:sz w:val="24"/>
          <w:szCs w:val="22"/>
          <w:highlight w:val="none"/>
          <w:lang w:val="en-US" w:eastAsia="zh-CN"/>
        </w:rPr>
        <w:t>调研</w:t>
      </w:r>
      <w:r>
        <w:rPr>
          <w:rFonts w:hint="eastAsia" w:ascii="仿宋" w:hAnsi="仿宋" w:eastAsia="仿宋" w:cs="仿宋"/>
          <w:sz w:val="24"/>
          <w:szCs w:val="22"/>
          <w:highlight w:val="none"/>
        </w:rPr>
        <w:t>产品为医疗器械的，推荐产品须符合《医疗器械监督管理办法》和《医疗器械监督管理条例》要求并提供相关资质文件。</w:t>
      </w:r>
    </w:p>
    <w:p w14:paraId="19373FFE">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黑体" w:hAnsi="黑体" w:eastAsia="黑体" w:cs="黑体"/>
          <w:sz w:val="24"/>
          <w:szCs w:val="22"/>
          <w:highlight w:val="none"/>
        </w:rPr>
      </w:pPr>
      <w:r>
        <w:rPr>
          <w:rFonts w:hint="eastAsia" w:ascii="黑体" w:hAnsi="黑体" w:eastAsia="黑体" w:cs="黑体"/>
          <w:b/>
          <w:bCs/>
          <w:sz w:val="24"/>
          <w:szCs w:val="22"/>
          <w:highlight w:val="none"/>
          <w:lang w:val="en-US" w:eastAsia="zh-CN"/>
        </w:rPr>
        <w:t>五</w:t>
      </w:r>
      <w:r>
        <w:rPr>
          <w:rFonts w:hint="eastAsia" w:ascii="黑体" w:hAnsi="黑体" w:eastAsia="黑体" w:cs="黑体"/>
          <w:b/>
          <w:bCs/>
          <w:sz w:val="24"/>
          <w:szCs w:val="22"/>
          <w:highlight w:val="none"/>
        </w:rPr>
        <w:t>、</w:t>
      </w:r>
      <w:r>
        <w:rPr>
          <w:rFonts w:hint="eastAsia" w:ascii="黑体" w:hAnsi="黑体" w:eastAsia="黑体" w:cs="黑体"/>
          <w:b/>
          <w:bCs/>
          <w:sz w:val="24"/>
          <w:szCs w:val="22"/>
          <w:highlight w:val="none"/>
          <w:lang w:val="en-US" w:eastAsia="zh-CN"/>
        </w:rPr>
        <w:t>推荐</w:t>
      </w:r>
      <w:r>
        <w:rPr>
          <w:rFonts w:hint="eastAsia" w:ascii="黑体" w:hAnsi="黑体" w:eastAsia="黑体" w:cs="黑体"/>
          <w:b/>
          <w:bCs/>
          <w:sz w:val="24"/>
          <w:szCs w:val="22"/>
          <w:highlight w:val="none"/>
        </w:rPr>
        <w:t>文件要求（所有资料需加盖公司鲜章）</w:t>
      </w:r>
    </w:p>
    <w:p w14:paraId="15BEFB4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val="en-US" w:eastAsia="zh-CN"/>
        </w:rPr>
      </w:pPr>
      <w:r>
        <w:rPr>
          <w:rFonts w:hint="eastAsia" w:ascii="仿宋" w:hAnsi="仿宋" w:eastAsia="仿宋" w:cs="仿宋"/>
          <w:sz w:val="24"/>
          <w:szCs w:val="22"/>
          <w:highlight w:val="none"/>
          <w:lang w:val="en-US" w:eastAsia="zh-CN"/>
        </w:rPr>
        <w:t>1.推荐文件纸质资料要求</w:t>
      </w:r>
    </w:p>
    <w:p w14:paraId="080342F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val="en-US" w:eastAsia="zh-CN"/>
        </w:rPr>
      </w:pPr>
      <w:r>
        <w:rPr>
          <w:rFonts w:hint="eastAsia" w:ascii="仿宋" w:hAnsi="仿宋" w:eastAsia="仿宋" w:cs="仿宋"/>
          <w:sz w:val="24"/>
          <w:szCs w:val="22"/>
          <w:highlight w:val="none"/>
          <w:lang w:val="en-US" w:eastAsia="zh-CN"/>
        </w:rPr>
        <w:t>1.1推荐</w:t>
      </w:r>
      <w:r>
        <w:rPr>
          <w:rFonts w:hint="eastAsia" w:ascii="仿宋" w:hAnsi="仿宋" w:eastAsia="仿宋" w:cs="仿宋"/>
          <w:sz w:val="24"/>
          <w:szCs w:val="22"/>
          <w:highlight w:val="none"/>
          <w:lang w:val="zh-CN" w:eastAsia="zh-CN"/>
        </w:rPr>
        <w:t>文件需装订成册用文件袋密封，文件袋封面标明医用耗材名称、项目编号、</w:t>
      </w:r>
      <w:r>
        <w:rPr>
          <w:rFonts w:hint="eastAsia" w:ascii="仿宋" w:hAnsi="仿宋" w:eastAsia="仿宋" w:cs="仿宋"/>
          <w:sz w:val="24"/>
          <w:szCs w:val="22"/>
          <w:highlight w:val="none"/>
          <w:lang w:val="en-US" w:eastAsia="zh-CN"/>
        </w:rPr>
        <w:t>序号</w:t>
      </w:r>
      <w:r>
        <w:rPr>
          <w:rFonts w:hint="eastAsia" w:ascii="仿宋" w:hAnsi="仿宋" w:eastAsia="仿宋" w:cs="仿宋"/>
          <w:sz w:val="24"/>
          <w:szCs w:val="22"/>
          <w:highlight w:val="none"/>
          <w:lang w:val="zh-CN" w:eastAsia="zh-CN"/>
        </w:rPr>
        <w:t>、报价供应商名称</w:t>
      </w:r>
      <w:r>
        <w:rPr>
          <w:rFonts w:hint="eastAsia" w:ascii="仿宋" w:hAnsi="仿宋" w:eastAsia="仿宋" w:cs="仿宋"/>
          <w:sz w:val="24"/>
          <w:szCs w:val="22"/>
          <w:highlight w:val="none"/>
          <w:lang w:val="en-US" w:eastAsia="zh-CN"/>
        </w:rPr>
        <w:t>并在密封处加盖报价公司鲜章，同一报价供应商对多个序号产品进行推荐时需将每一序号的推荐资料单独密封。</w:t>
      </w:r>
    </w:p>
    <w:p w14:paraId="4ACB722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val="en-US" w:eastAsia="zh-CN"/>
        </w:rPr>
      </w:pPr>
      <w:r>
        <w:rPr>
          <w:rFonts w:hint="eastAsia" w:ascii="仿宋" w:hAnsi="仿宋" w:eastAsia="仿宋" w:cs="仿宋"/>
          <w:sz w:val="24"/>
          <w:szCs w:val="22"/>
          <w:highlight w:val="none"/>
          <w:lang w:val="en-US" w:eastAsia="zh-CN"/>
        </w:rPr>
        <w:t>1.2推荐</w:t>
      </w:r>
      <w:r>
        <w:rPr>
          <w:rFonts w:hint="eastAsia" w:ascii="仿宋" w:hAnsi="仿宋" w:eastAsia="仿宋" w:cs="仿宋"/>
          <w:sz w:val="24"/>
          <w:szCs w:val="22"/>
          <w:highlight w:val="none"/>
          <w:lang w:val="zh-CN" w:eastAsia="zh-CN"/>
        </w:rPr>
        <w:t>文件份数：正本 1份；副本</w:t>
      </w:r>
      <w:r>
        <w:rPr>
          <w:rFonts w:hint="eastAsia" w:ascii="仿宋" w:hAnsi="仿宋" w:eastAsia="仿宋" w:cs="仿宋"/>
          <w:sz w:val="24"/>
          <w:szCs w:val="22"/>
          <w:highlight w:val="none"/>
          <w:lang w:val="en-US" w:eastAsia="zh-CN"/>
        </w:rPr>
        <w:t>4</w:t>
      </w:r>
      <w:r>
        <w:rPr>
          <w:rFonts w:hint="eastAsia" w:ascii="仿宋" w:hAnsi="仿宋" w:eastAsia="仿宋" w:cs="仿宋"/>
          <w:sz w:val="24"/>
          <w:szCs w:val="22"/>
          <w:highlight w:val="none"/>
          <w:lang w:val="zh-CN" w:eastAsia="zh-CN"/>
        </w:rPr>
        <w:t>份。</w:t>
      </w:r>
    </w:p>
    <w:p w14:paraId="0EDC396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val="zh-CN" w:eastAsia="zh-CN"/>
        </w:rPr>
      </w:pPr>
      <w:r>
        <w:rPr>
          <w:rFonts w:hint="eastAsia" w:ascii="仿宋" w:hAnsi="仿宋" w:eastAsia="仿宋" w:cs="仿宋"/>
          <w:sz w:val="24"/>
          <w:szCs w:val="22"/>
          <w:highlight w:val="none"/>
          <w:lang w:val="en-US" w:eastAsia="zh-CN"/>
        </w:rPr>
        <w:t>1.3推荐</w:t>
      </w:r>
      <w:r>
        <w:rPr>
          <w:rFonts w:hint="eastAsia" w:ascii="仿宋" w:hAnsi="仿宋" w:eastAsia="仿宋" w:cs="仿宋"/>
          <w:sz w:val="24"/>
          <w:szCs w:val="22"/>
          <w:highlight w:val="none"/>
          <w:lang w:val="zh-CN" w:eastAsia="zh-CN"/>
        </w:rPr>
        <w:t>文件封面的标注：</w:t>
      </w:r>
      <w:r>
        <w:rPr>
          <w:rFonts w:hint="eastAsia" w:ascii="仿宋" w:hAnsi="仿宋" w:eastAsia="仿宋" w:cs="仿宋"/>
          <w:sz w:val="24"/>
          <w:szCs w:val="22"/>
          <w:highlight w:val="none"/>
          <w:lang w:val="en-US" w:eastAsia="zh-CN"/>
        </w:rPr>
        <w:t>推荐</w:t>
      </w:r>
      <w:r>
        <w:rPr>
          <w:rFonts w:hint="eastAsia" w:ascii="仿宋" w:hAnsi="仿宋" w:eastAsia="仿宋" w:cs="仿宋"/>
          <w:sz w:val="24"/>
          <w:szCs w:val="22"/>
          <w:highlight w:val="none"/>
          <w:lang w:val="zh-CN" w:eastAsia="zh-CN"/>
        </w:rPr>
        <w:t>文件正本和副本的封面上均应标明：项目名称、项目编号、</w:t>
      </w:r>
      <w:r>
        <w:rPr>
          <w:rFonts w:hint="eastAsia" w:ascii="仿宋" w:hAnsi="仿宋" w:eastAsia="仿宋" w:cs="仿宋"/>
          <w:sz w:val="24"/>
          <w:szCs w:val="22"/>
          <w:highlight w:val="none"/>
          <w:lang w:val="en-US" w:eastAsia="zh-CN"/>
        </w:rPr>
        <w:t>序号</w:t>
      </w:r>
      <w:r>
        <w:rPr>
          <w:rFonts w:hint="eastAsia" w:ascii="仿宋" w:hAnsi="仿宋" w:eastAsia="仿宋" w:cs="仿宋"/>
          <w:sz w:val="24"/>
          <w:szCs w:val="22"/>
          <w:highlight w:val="none"/>
          <w:lang w:val="zh-CN" w:eastAsia="zh-CN"/>
        </w:rPr>
        <w:t>、</w:t>
      </w:r>
      <w:r>
        <w:rPr>
          <w:rFonts w:hint="eastAsia" w:ascii="仿宋" w:hAnsi="仿宋" w:eastAsia="仿宋" w:cs="仿宋"/>
          <w:sz w:val="24"/>
          <w:szCs w:val="22"/>
          <w:highlight w:val="none"/>
          <w:lang w:val="en-US" w:eastAsia="zh-CN"/>
        </w:rPr>
        <w:t>推荐</w:t>
      </w:r>
      <w:r>
        <w:rPr>
          <w:rFonts w:hint="eastAsia" w:ascii="仿宋" w:hAnsi="仿宋" w:eastAsia="仿宋" w:cs="仿宋"/>
          <w:sz w:val="24"/>
          <w:szCs w:val="22"/>
          <w:highlight w:val="none"/>
          <w:lang w:val="zh-CN" w:eastAsia="zh-CN"/>
        </w:rPr>
        <w:t>供应商名称、联系人、联系方式、年月日；并分别在右上角标明“正本”和“副本”字样（</w:t>
      </w:r>
      <w:r>
        <w:rPr>
          <w:rFonts w:hint="eastAsia" w:ascii="仿宋" w:hAnsi="仿宋" w:eastAsia="仿宋" w:cs="仿宋"/>
          <w:sz w:val="24"/>
          <w:szCs w:val="22"/>
          <w:highlight w:val="none"/>
          <w:lang w:val="en-US" w:eastAsia="zh-CN"/>
        </w:rPr>
        <w:t>副本可以是正本的复印件</w:t>
      </w:r>
      <w:r>
        <w:rPr>
          <w:rFonts w:hint="eastAsia" w:ascii="仿宋" w:hAnsi="仿宋" w:eastAsia="仿宋" w:cs="仿宋"/>
          <w:sz w:val="24"/>
          <w:szCs w:val="22"/>
          <w:highlight w:val="none"/>
          <w:lang w:val="zh-CN" w:eastAsia="zh-CN"/>
        </w:rPr>
        <w:t>）。</w:t>
      </w:r>
    </w:p>
    <w:p w14:paraId="1F2BE51D">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val="en-US" w:eastAsia="zh-CN"/>
        </w:rPr>
      </w:pPr>
      <w:r>
        <w:rPr>
          <w:rFonts w:hint="eastAsia" w:ascii="仿宋" w:hAnsi="仿宋" w:eastAsia="仿宋" w:cs="仿宋"/>
          <w:sz w:val="24"/>
          <w:szCs w:val="22"/>
          <w:highlight w:val="none"/>
          <w:lang w:val="en-US" w:eastAsia="zh-CN"/>
        </w:rPr>
        <w:t>2.产品适用范围、技术参数、功能特点、报价及同品牌同型号产品四川省内医疗机构使用名单；医用耗材清单内产品若需租赁配套设备（下称配套设备），还应当列明配套设备适用范围、技术参数、功能特点、租赁报价及该型号配套设备四川省内医疗机构使用名单。</w:t>
      </w:r>
    </w:p>
    <w:p w14:paraId="30D0F76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eastAsia="zh-CN"/>
        </w:rPr>
      </w:pPr>
      <w:r>
        <w:rPr>
          <w:rFonts w:hint="eastAsia" w:ascii="仿宋" w:hAnsi="仿宋" w:eastAsia="仿宋" w:cs="仿宋"/>
          <w:sz w:val="24"/>
          <w:szCs w:val="22"/>
          <w:highlight w:val="none"/>
          <w:lang w:val="en-US" w:eastAsia="zh-CN"/>
        </w:rPr>
        <w:t>3.</w:t>
      </w:r>
      <w:r>
        <w:rPr>
          <w:rFonts w:hint="eastAsia" w:ascii="仿宋" w:hAnsi="仿宋" w:eastAsia="仿宋" w:cs="仿宋"/>
          <w:sz w:val="24"/>
          <w:szCs w:val="22"/>
          <w:highlight w:val="none"/>
        </w:rPr>
        <w:t>营业执照</w:t>
      </w:r>
      <w:r>
        <w:rPr>
          <w:rFonts w:hint="eastAsia" w:ascii="仿宋" w:hAnsi="仿宋" w:eastAsia="仿宋" w:cs="仿宋"/>
          <w:sz w:val="24"/>
          <w:szCs w:val="22"/>
          <w:highlight w:val="none"/>
          <w:lang w:eastAsia="zh-CN"/>
        </w:rPr>
        <w:t>、</w:t>
      </w:r>
      <w:r>
        <w:rPr>
          <w:rFonts w:hint="eastAsia" w:ascii="仿宋" w:hAnsi="仿宋" w:eastAsia="仿宋" w:cs="仿宋"/>
          <w:sz w:val="24"/>
          <w:szCs w:val="22"/>
          <w:highlight w:val="none"/>
        </w:rPr>
        <w:t>《中华人民共和国医疗器械注册证》或《第一类医疗器械备案凭证》、生产企业的《医疗器械生产企业许可证》或《第一类医疗器械生产备案凭证》、提供医疗器械经营证明（经营第一类医疗不提供任何证明，经营第二类医疗器械提供备案证明或经营许可证明，经营第三类医疗器械提供经营许可证明）、产品授权书（证明文件须能显示产品制造厂家对调研产品授权链条的完整性）</w:t>
      </w:r>
      <w:r>
        <w:rPr>
          <w:rFonts w:hint="eastAsia" w:ascii="仿宋" w:hAnsi="仿宋" w:eastAsia="仿宋" w:cs="仿宋"/>
          <w:sz w:val="24"/>
          <w:szCs w:val="22"/>
          <w:highlight w:val="none"/>
          <w:lang w:eastAsia="zh-CN"/>
        </w:rPr>
        <w:t>。</w:t>
      </w:r>
    </w:p>
    <w:p w14:paraId="2CED68E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eastAsia="zh-CN"/>
        </w:rPr>
      </w:pPr>
      <w:r>
        <w:rPr>
          <w:rFonts w:hint="eastAsia" w:ascii="仿宋" w:hAnsi="仿宋" w:eastAsia="仿宋" w:cs="仿宋"/>
          <w:sz w:val="24"/>
          <w:szCs w:val="22"/>
          <w:highlight w:val="none"/>
          <w:lang w:val="en-US" w:eastAsia="zh-CN"/>
        </w:rPr>
        <w:t>4.调研产品属挂网采购目录范围的，所报</w:t>
      </w:r>
      <w:r>
        <w:rPr>
          <w:rFonts w:hint="eastAsia" w:ascii="仿宋" w:hAnsi="仿宋" w:eastAsia="仿宋" w:cs="仿宋"/>
          <w:sz w:val="24"/>
          <w:szCs w:val="22"/>
          <w:highlight w:val="none"/>
        </w:rPr>
        <w:t>产品必须为</w:t>
      </w:r>
      <w:r>
        <w:rPr>
          <w:rFonts w:hint="eastAsia" w:ascii="仿宋" w:hAnsi="仿宋" w:eastAsia="仿宋" w:cs="仿宋"/>
          <w:sz w:val="24"/>
          <w:szCs w:val="22"/>
          <w:highlight w:val="none"/>
          <w:lang w:val="en-US" w:eastAsia="zh-CN"/>
        </w:rPr>
        <w:t>四川省药品和医用耗材招采管理系统“耗材/试剂交易结算”</w:t>
      </w:r>
      <w:r>
        <w:rPr>
          <w:rFonts w:hint="eastAsia" w:ascii="仿宋" w:hAnsi="仿宋" w:eastAsia="仿宋" w:cs="仿宋"/>
          <w:sz w:val="24"/>
          <w:szCs w:val="22"/>
          <w:highlight w:val="none"/>
        </w:rPr>
        <w:t>价格联动专区目录内产品。</w:t>
      </w:r>
      <w:r>
        <w:rPr>
          <w:rFonts w:hint="eastAsia" w:ascii="仿宋" w:hAnsi="仿宋" w:eastAsia="仿宋" w:cs="仿宋"/>
          <w:sz w:val="24"/>
          <w:szCs w:val="22"/>
          <w:highlight w:val="none"/>
          <w:lang w:eastAsia="zh-CN"/>
        </w:rPr>
        <w:t>（</w:t>
      </w:r>
      <w:r>
        <w:rPr>
          <w:rFonts w:hint="eastAsia" w:ascii="仿宋" w:hAnsi="仿宋" w:eastAsia="仿宋" w:cs="仿宋"/>
          <w:b/>
          <w:bCs/>
          <w:sz w:val="24"/>
          <w:szCs w:val="22"/>
          <w:highlight w:val="none"/>
          <w:lang w:val="en-US" w:eastAsia="zh-CN"/>
        </w:rPr>
        <w:t>提供挂网截图</w:t>
      </w:r>
      <w:r>
        <w:rPr>
          <w:rFonts w:hint="eastAsia" w:ascii="仿宋" w:hAnsi="仿宋" w:eastAsia="仿宋" w:cs="仿宋"/>
          <w:sz w:val="24"/>
          <w:szCs w:val="22"/>
          <w:highlight w:val="none"/>
          <w:lang w:eastAsia="zh-CN"/>
        </w:rPr>
        <w:t>）</w:t>
      </w:r>
    </w:p>
    <w:p w14:paraId="0169F2D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rPr>
      </w:pPr>
      <w:r>
        <w:rPr>
          <w:rFonts w:hint="eastAsia" w:ascii="仿宋" w:hAnsi="仿宋" w:eastAsia="仿宋" w:cs="仿宋"/>
          <w:sz w:val="24"/>
          <w:szCs w:val="22"/>
          <w:highlight w:val="none"/>
          <w:lang w:val="en-US" w:eastAsia="zh-CN"/>
        </w:rPr>
        <w:t>5.</w:t>
      </w:r>
      <w:r>
        <w:rPr>
          <w:rFonts w:hint="eastAsia" w:ascii="仿宋" w:hAnsi="仿宋" w:eastAsia="仿宋" w:cs="仿宋"/>
          <w:sz w:val="24"/>
          <w:szCs w:val="22"/>
          <w:highlight w:val="none"/>
        </w:rPr>
        <w:t>参加</w:t>
      </w:r>
      <w:r>
        <w:rPr>
          <w:rFonts w:hint="eastAsia" w:ascii="仿宋" w:hAnsi="仿宋" w:eastAsia="仿宋" w:cs="仿宋"/>
          <w:sz w:val="24"/>
          <w:szCs w:val="22"/>
          <w:highlight w:val="none"/>
          <w:lang w:eastAsia="zh-CN"/>
        </w:rPr>
        <w:t>推荐</w:t>
      </w:r>
      <w:r>
        <w:rPr>
          <w:rFonts w:hint="eastAsia" w:ascii="仿宋" w:hAnsi="仿宋" w:eastAsia="仿宋" w:cs="仿宋"/>
          <w:sz w:val="24"/>
          <w:szCs w:val="22"/>
          <w:highlight w:val="none"/>
        </w:rPr>
        <w:t>会的人员须提供法定代表人身份证（正反面的复印件），参加</w:t>
      </w:r>
      <w:r>
        <w:rPr>
          <w:rFonts w:hint="eastAsia" w:ascii="仿宋" w:hAnsi="仿宋" w:eastAsia="仿宋" w:cs="仿宋"/>
          <w:sz w:val="24"/>
          <w:szCs w:val="22"/>
          <w:highlight w:val="none"/>
          <w:lang w:eastAsia="zh-CN"/>
        </w:rPr>
        <w:t>推荐</w:t>
      </w:r>
      <w:r>
        <w:rPr>
          <w:rFonts w:hint="eastAsia" w:ascii="仿宋" w:hAnsi="仿宋" w:eastAsia="仿宋" w:cs="仿宋"/>
          <w:sz w:val="24"/>
          <w:szCs w:val="22"/>
          <w:highlight w:val="none"/>
        </w:rPr>
        <w:t>会代表人身份证（正反面的复印件），法定代表人授权书原件(投标代表是法定代表人无需)。</w:t>
      </w:r>
    </w:p>
    <w:p w14:paraId="4BFD63C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val="en-US" w:eastAsia="zh-CN"/>
        </w:rPr>
      </w:pPr>
      <w:r>
        <w:rPr>
          <w:rFonts w:hint="eastAsia" w:ascii="仿宋" w:hAnsi="仿宋" w:eastAsia="仿宋" w:cs="仿宋"/>
          <w:sz w:val="24"/>
          <w:szCs w:val="22"/>
          <w:highlight w:val="none"/>
          <w:lang w:val="en-US" w:eastAsia="zh-CN"/>
        </w:rPr>
        <w:t>6.产品的使用说明书、产品彩页、样品展示（试剂除外）。</w:t>
      </w:r>
    </w:p>
    <w:p w14:paraId="27163791">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黑体" w:hAnsi="黑体" w:eastAsia="黑体" w:cs="黑体"/>
          <w:sz w:val="24"/>
          <w:szCs w:val="22"/>
          <w:highlight w:val="none"/>
          <w:lang w:val="en-US" w:eastAsia="zh-CN"/>
        </w:rPr>
      </w:pPr>
      <w:r>
        <w:rPr>
          <w:rFonts w:hint="eastAsia" w:ascii="黑体" w:hAnsi="黑体" w:eastAsia="黑体" w:cs="黑体"/>
          <w:b/>
          <w:bCs/>
          <w:sz w:val="24"/>
          <w:szCs w:val="22"/>
          <w:highlight w:val="none"/>
          <w:lang w:val="en-US" w:eastAsia="zh-CN"/>
        </w:rPr>
        <w:t>六</w:t>
      </w:r>
      <w:r>
        <w:rPr>
          <w:rFonts w:hint="eastAsia" w:ascii="黑体" w:hAnsi="黑体" w:eastAsia="黑体" w:cs="黑体"/>
          <w:b/>
          <w:bCs/>
          <w:sz w:val="24"/>
          <w:szCs w:val="22"/>
          <w:highlight w:val="none"/>
        </w:rPr>
        <w:t>、电子文档：各参加</w:t>
      </w:r>
      <w:r>
        <w:rPr>
          <w:rFonts w:hint="eastAsia" w:ascii="黑体" w:hAnsi="黑体" w:eastAsia="黑体" w:cs="黑体"/>
          <w:b/>
          <w:bCs/>
          <w:sz w:val="24"/>
          <w:szCs w:val="22"/>
          <w:highlight w:val="none"/>
          <w:lang w:eastAsia="zh-CN"/>
        </w:rPr>
        <w:t>推荐</w:t>
      </w:r>
      <w:r>
        <w:rPr>
          <w:rFonts w:hint="eastAsia" w:ascii="黑体" w:hAnsi="黑体" w:eastAsia="黑体" w:cs="黑体"/>
          <w:b/>
          <w:bCs/>
          <w:sz w:val="24"/>
          <w:szCs w:val="22"/>
          <w:highlight w:val="none"/>
        </w:rPr>
        <w:t>会供应商制作PPT按下列顺序进行</w:t>
      </w:r>
    </w:p>
    <w:p w14:paraId="3211E49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eastAsia="zh-CN"/>
        </w:rPr>
      </w:pPr>
      <w:r>
        <w:rPr>
          <w:rFonts w:hint="eastAsia" w:ascii="仿宋" w:hAnsi="仿宋" w:eastAsia="仿宋" w:cs="仿宋"/>
          <w:sz w:val="24"/>
          <w:szCs w:val="22"/>
          <w:highlight w:val="none"/>
        </w:rPr>
        <w:t>1</w:t>
      </w:r>
      <w:r>
        <w:rPr>
          <w:rFonts w:hint="eastAsia" w:ascii="仿宋" w:hAnsi="仿宋" w:eastAsia="仿宋" w:cs="仿宋"/>
          <w:sz w:val="24"/>
          <w:szCs w:val="22"/>
          <w:highlight w:val="none"/>
          <w:lang w:val="en-US" w:eastAsia="zh-CN"/>
        </w:rPr>
        <w:t>.</w:t>
      </w:r>
      <w:r>
        <w:rPr>
          <w:rFonts w:hint="eastAsia" w:ascii="仿宋" w:hAnsi="仿宋" w:eastAsia="仿宋" w:cs="仿宋"/>
          <w:sz w:val="24"/>
          <w:szCs w:val="22"/>
          <w:highlight w:val="none"/>
        </w:rPr>
        <w:t>产品</w:t>
      </w:r>
      <w:r>
        <w:rPr>
          <w:rFonts w:hint="eastAsia" w:ascii="仿宋" w:hAnsi="仿宋" w:eastAsia="仿宋" w:cs="仿宋"/>
          <w:sz w:val="24"/>
          <w:szCs w:val="22"/>
          <w:highlight w:val="none"/>
          <w:lang w:eastAsia="zh-CN"/>
        </w:rPr>
        <w:t>、</w:t>
      </w:r>
      <w:r>
        <w:rPr>
          <w:rFonts w:hint="eastAsia" w:ascii="仿宋" w:hAnsi="仿宋" w:eastAsia="仿宋" w:cs="仿宋"/>
          <w:sz w:val="24"/>
          <w:szCs w:val="22"/>
          <w:highlight w:val="none"/>
          <w:lang w:val="en-US" w:eastAsia="zh-CN"/>
        </w:rPr>
        <w:t>配套设备适用范围</w:t>
      </w:r>
      <w:r>
        <w:rPr>
          <w:rFonts w:hint="eastAsia" w:ascii="仿宋" w:hAnsi="仿宋" w:eastAsia="仿宋" w:cs="仿宋"/>
          <w:sz w:val="24"/>
          <w:szCs w:val="22"/>
          <w:highlight w:val="none"/>
        </w:rPr>
        <w:t>、功能特点</w:t>
      </w:r>
      <w:r>
        <w:rPr>
          <w:rFonts w:hint="eastAsia" w:ascii="仿宋" w:hAnsi="仿宋" w:eastAsia="仿宋" w:cs="仿宋"/>
          <w:sz w:val="24"/>
          <w:szCs w:val="22"/>
          <w:highlight w:val="none"/>
          <w:lang w:eastAsia="zh-CN"/>
        </w:rPr>
        <w:t>、</w:t>
      </w:r>
      <w:r>
        <w:rPr>
          <w:rFonts w:hint="eastAsia" w:ascii="仿宋" w:hAnsi="仿宋" w:eastAsia="仿宋" w:cs="仿宋"/>
          <w:sz w:val="24"/>
          <w:szCs w:val="22"/>
          <w:highlight w:val="none"/>
          <w:lang w:val="en-US" w:eastAsia="zh-CN"/>
        </w:rPr>
        <w:t>应用场景、</w:t>
      </w:r>
      <w:r>
        <w:rPr>
          <w:rFonts w:hint="eastAsia" w:ascii="仿宋" w:hAnsi="仿宋" w:eastAsia="仿宋" w:cs="仿宋"/>
          <w:sz w:val="24"/>
          <w:szCs w:val="22"/>
          <w:highlight w:val="none"/>
        </w:rPr>
        <w:t>产品报价</w:t>
      </w:r>
      <w:r>
        <w:rPr>
          <w:rFonts w:hint="eastAsia" w:ascii="仿宋" w:hAnsi="仿宋" w:eastAsia="仿宋" w:cs="仿宋"/>
          <w:sz w:val="24"/>
          <w:szCs w:val="22"/>
          <w:highlight w:val="none"/>
          <w:lang w:eastAsia="zh-CN"/>
        </w:rPr>
        <w:t>。</w:t>
      </w:r>
    </w:p>
    <w:p w14:paraId="7E626AE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eastAsia="zh-CN"/>
        </w:rPr>
      </w:pPr>
      <w:r>
        <w:rPr>
          <w:rFonts w:hint="eastAsia" w:ascii="仿宋" w:hAnsi="仿宋" w:eastAsia="仿宋" w:cs="仿宋"/>
          <w:sz w:val="24"/>
          <w:szCs w:val="22"/>
          <w:highlight w:val="none"/>
          <w:lang w:val="en-US" w:eastAsia="zh-CN"/>
        </w:rPr>
        <w:t>2.</w:t>
      </w:r>
      <w:r>
        <w:rPr>
          <w:rFonts w:hint="eastAsia" w:ascii="仿宋" w:hAnsi="仿宋" w:eastAsia="仿宋" w:cs="仿宋"/>
          <w:sz w:val="24"/>
          <w:szCs w:val="22"/>
          <w:highlight w:val="none"/>
        </w:rPr>
        <w:t>市场同类同档次产品的比较表</w:t>
      </w:r>
      <w:r>
        <w:rPr>
          <w:rFonts w:hint="eastAsia" w:ascii="仿宋" w:hAnsi="仿宋" w:eastAsia="仿宋" w:cs="仿宋"/>
          <w:sz w:val="24"/>
          <w:szCs w:val="22"/>
          <w:highlight w:val="none"/>
          <w:lang w:eastAsia="zh-CN"/>
        </w:rPr>
        <w:t>。</w:t>
      </w:r>
    </w:p>
    <w:p w14:paraId="63463C2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eastAsia="zh-CN"/>
        </w:rPr>
      </w:pPr>
      <w:r>
        <w:rPr>
          <w:rFonts w:hint="eastAsia" w:ascii="仿宋" w:hAnsi="仿宋" w:eastAsia="仿宋" w:cs="仿宋"/>
          <w:sz w:val="24"/>
          <w:szCs w:val="22"/>
          <w:highlight w:val="none"/>
          <w:lang w:val="en-US" w:eastAsia="zh-CN"/>
        </w:rPr>
        <w:t>3.</w:t>
      </w:r>
      <w:r>
        <w:rPr>
          <w:rFonts w:hint="eastAsia" w:ascii="仿宋" w:hAnsi="仿宋" w:eastAsia="仿宋" w:cs="仿宋"/>
          <w:sz w:val="24"/>
          <w:szCs w:val="22"/>
          <w:highlight w:val="none"/>
        </w:rPr>
        <w:t>产品</w:t>
      </w:r>
      <w:r>
        <w:rPr>
          <w:rFonts w:hint="eastAsia" w:ascii="仿宋" w:hAnsi="仿宋" w:eastAsia="仿宋" w:cs="仿宋"/>
          <w:sz w:val="24"/>
          <w:szCs w:val="22"/>
          <w:highlight w:val="none"/>
          <w:lang w:eastAsia="zh-CN"/>
        </w:rPr>
        <w:t>、</w:t>
      </w:r>
      <w:r>
        <w:rPr>
          <w:rFonts w:hint="eastAsia" w:ascii="仿宋" w:hAnsi="仿宋" w:eastAsia="仿宋" w:cs="仿宋"/>
          <w:sz w:val="24"/>
          <w:szCs w:val="22"/>
          <w:highlight w:val="none"/>
          <w:lang w:val="en-US" w:eastAsia="zh-CN"/>
        </w:rPr>
        <w:t>配套设备</w:t>
      </w:r>
      <w:r>
        <w:rPr>
          <w:rFonts w:hint="eastAsia" w:ascii="仿宋" w:hAnsi="仿宋" w:eastAsia="仿宋" w:cs="仿宋"/>
          <w:sz w:val="24"/>
          <w:szCs w:val="22"/>
          <w:highlight w:val="none"/>
        </w:rPr>
        <w:t>技术参数</w:t>
      </w:r>
    </w:p>
    <w:p w14:paraId="238515D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rPr>
      </w:pPr>
      <w:r>
        <w:rPr>
          <w:rFonts w:hint="eastAsia" w:ascii="仿宋" w:hAnsi="仿宋" w:eastAsia="仿宋" w:cs="仿宋"/>
          <w:sz w:val="24"/>
          <w:szCs w:val="22"/>
          <w:highlight w:val="none"/>
        </w:rPr>
        <w:t>需</w:t>
      </w:r>
      <w:r>
        <w:rPr>
          <w:rFonts w:hint="eastAsia" w:ascii="仿宋" w:hAnsi="仿宋" w:eastAsia="仿宋" w:cs="仿宋"/>
          <w:sz w:val="24"/>
          <w:szCs w:val="22"/>
          <w:highlight w:val="none"/>
          <w:lang w:val="en-US" w:eastAsia="zh-CN"/>
        </w:rPr>
        <w:t>将以上</w:t>
      </w:r>
      <w:r>
        <w:rPr>
          <w:rFonts w:hint="eastAsia" w:ascii="仿宋" w:hAnsi="仿宋" w:eastAsia="仿宋" w:cs="仿宋"/>
          <w:sz w:val="24"/>
          <w:szCs w:val="22"/>
          <w:highlight w:val="none"/>
        </w:rPr>
        <w:t>要求的内容制作</w:t>
      </w:r>
      <w:r>
        <w:rPr>
          <w:rFonts w:hint="eastAsia" w:ascii="仿宋" w:hAnsi="仿宋" w:eastAsia="仿宋" w:cs="仿宋"/>
          <w:sz w:val="24"/>
          <w:szCs w:val="22"/>
          <w:highlight w:val="none"/>
          <w:lang w:val="en-US" w:eastAsia="zh-CN"/>
        </w:rPr>
        <w:t>成</w:t>
      </w:r>
      <w:r>
        <w:rPr>
          <w:rFonts w:hint="eastAsia" w:ascii="仿宋" w:hAnsi="仿宋" w:eastAsia="仿宋" w:cs="仿宋"/>
          <w:sz w:val="24"/>
          <w:szCs w:val="22"/>
          <w:highlight w:val="none"/>
        </w:rPr>
        <w:t>PPT文件，在</w:t>
      </w:r>
      <w:r>
        <w:rPr>
          <w:rFonts w:hint="eastAsia" w:ascii="仿宋" w:hAnsi="仿宋" w:eastAsia="仿宋" w:cs="仿宋"/>
          <w:sz w:val="24"/>
          <w:szCs w:val="22"/>
          <w:highlight w:val="none"/>
          <w:lang w:eastAsia="zh-CN"/>
        </w:rPr>
        <w:t>推荐</w:t>
      </w:r>
      <w:r>
        <w:rPr>
          <w:rFonts w:hint="eastAsia" w:ascii="仿宋" w:hAnsi="仿宋" w:eastAsia="仿宋" w:cs="仿宋"/>
          <w:sz w:val="24"/>
          <w:szCs w:val="22"/>
          <w:highlight w:val="none"/>
        </w:rPr>
        <w:t>会时进行讲解，同时将PPT文件、</w:t>
      </w:r>
      <w:r>
        <w:rPr>
          <w:rFonts w:hint="eastAsia" w:ascii="仿宋" w:hAnsi="仿宋" w:eastAsia="仿宋" w:cs="仿宋"/>
          <w:sz w:val="24"/>
          <w:szCs w:val="22"/>
          <w:highlight w:val="none"/>
          <w:lang w:eastAsia="zh-CN"/>
        </w:rPr>
        <w:t>推荐</w:t>
      </w:r>
      <w:r>
        <w:rPr>
          <w:rFonts w:hint="eastAsia" w:ascii="仿宋" w:hAnsi="仿宋" w:eastAsia="仿宋" w:cs="仿宋"/>
          <w:sz w:val="24"/>
          <w:szCs w:val="22"/>
          <w:highlight w:val="none"/>
        </w:rPr>
        <w:t>产品的电子版技术参数</w:t>
      </w:r>
      <w:r>
        <w:rPr>
          <w:rFonts w:hint="eastAsia" w:ascii="仿宋" w:hAnsi="仿宋" w:eastAsia="仿宋" w:cs="仿宋"/>
          <w:sz w:val="24"/>
          <w:szCs w:val="22"/>
          <w:highlight w:val="none"/>
          <w:lang w:val="en-US" w:eastAsia="zh-CN"/>
        </w:rPr>
        <w:t>(word版)</w:t>
      </w:r>
      <w:r>
        <w:rPr>
          <w:rFonts w:hint="eastAsia" w:ascii="仿宋" w:hAnsi="仿宋" w:eastAsia="仿宋" w:cs="仿宋"/>
          <w:sz w:val="24"/>
          <w:szCs w:val="22"/>
          <w:highlight w:val="none"/>
        </w:rPr>
        <w:t>单独用U盘存储，在寄送资料时一并将U盘交医院留存。</w:t>
      </w:r>
    </w:p>
    <w:p w14:paraId="73928E5A">
      <w:pPr>
        <w:keepNext w:val="0"/>
        <w:keepLines w:val="0"/>
        <w:pageBreakBefore w:val="0"/>
        <w:widowControl w:val="0"/>
        <w:numPr>
          <w:ilvl w:val="0"/>
          <w:numId w:val="2"/>
        </w:numPr>
        <w:kinsoku/>
        <w:wordWrap/>
        <w:overflowPunct/>
        <w:topLinePunct w:val="0"/>
        <w:autoSpaceDE/>
        <w:autoSpaceDN/>
        <w:bidi w:val="0"/>
        <w:adjustRightInd/>
        <w:snapToGrid/>
        <w:ind w:firstLine="482" w:firstLineChars="200"/>
        <w:textAlignment w:val="auto"/>
        <w:rPr>
          <w:rFonts w:hint="eastAsia"/>
          <w:lang w:val="en-US" w:eastAsia="zh-CN"/>
        </w:rPr>
      </w:pPr>
      <w:r>
        <w:rPr>
          <w:rFonts w:hint="eastAsia" w:ascii="黑体" w:hAnsi="黑体" w:eastAsia="黑体" w:cs="黑体"/>
          <w:b/>
          <w:bCs/>
          <w:sz w:val="24"/>
          <w:szCs w:val="22"/>
          <w:highlight w:val="none"/>
          <w:lang w:val="en-US" w:eastAsia="zh-CN"/>
        </w:rPr>
        <w:t>其他要求</w:t>
      </w:r>
      <w:r>
        <w:rPr>
          <w:rFonts w:hint="eastAsia" w:ascii="仿宋" w:hAnsi="仿宋" w:eastAsia="仿宋" w:cs="仿宋"/>
          <w:color w:val="auto"/>
          <w:sz w:val="24"/>
          <w:szCs w:val="24"/>
          <w:highlight w:val="yellow"/>
          <w:lang w:val="en-US" w:eastAsia="zh-CN"/>
        </w:rPr>
        <w:t>（需单独提供）</w:t>
      </w:r>
    </w:p>
    <w:p w14:paraId="3766FAF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eastAsia" w:ascii="仿宋" w:hAnsi="仿宋" w:eastAsia="仿宋" w:cs="仿宋"/>
          <w:sz w:val="24"/>
          <w:szCs w:val="22"/>
          <w:highlight w:val="none"/>
          <w:lang w:val="en-US" w:eastAsia="zh-CN"/>
        </w:rPr>
        <w:t>1.提供一份推荐产品盖鲜章的招标技术参数、推荐产品信息表（模板见附件1），若医用耗材清单中是否需要租赁配套设备标注“是”，除填报附件1外，还须填报配套设备信息表（模板见附件2），纸质版随同推荐文件、U盘一并寄送递交。</w:t>
      </w:r>
      <w:bookmarkStart w:id="0" w:name="_GoBack"/>
      <w:bookmarkEnd w:id="0"/>
    </w:p>
    <w:p w14:paraId="3DB3716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val="en-US" w:eastAsia="zh-CN"/>
        </w:rPr>
      </w:pPr>
      <w:r>
        <w:rPr>
          <w:rFonts w:hint="eastAsia" w:ascii="仿宋" w:hAnsi="仿宋" w:eastAsia="仿宋" w:cs="仿宋"/>
          <w:sz w:val="24"/>
          <w:szCs w:val="22"/>
          <w:highlight w:val="none"/>
          <w:lang w:val="en-US" w:eastAsia="zh-CN"/>
        </w:rPr>
        <w:t>2.</w:t>
      </w:r>
      <w:r>
        <w:rPr>
          <w:rFonts w:hint="eastAsia" w:ascii="仿宋" w:hAnsi="仿宋" w:eastAsia="仿宋" w:cs="仿宋"/>
          <w:sz w:val="24"/>
          <w:szCs w:val="22"/>
          <w:highlight w:val="none"/>
          <w:lang w:val="en-US" w:eastAsia="en-US"/>
        </w:rPr>
        <w:t>医药代表身份证明</w:t>
      </w:r>
      <w:r>
        <w:rPr>
          <w:rFonts w:hint="eastAsia" w:ascii="仿宋" w:hAnsi="仿宋" w:eastAsia="仿宋" w:cs="仿宋"/>
          <w:sz w:val="24"/>
          <w:szCs w:val="22"/>
          <w:highlight w:val="none"/>
          <w:lang w:val="en-US" w:eastAsia="zh-CN"/>
        </w:rPr>
        <w:t>、</w:t>
      </w:r>
      <w:r>
        <w:rPr>
          <w:rFonts w:hint="eastAsia" w:ascii="仿宋" w:hAnsi="仿宋" w:eastAsia="仿宋" w:cs="仿宋"/>
          <w:sz w:val="24"/>
          <w:szCs w:val="22"/>
          <w:highlight w:val="none"/>
          <w:lang w:val="en-US" w:eastAsia="en-US"/>
        </w:rPr>
        <w:t>医用器械与医用耗材等生产经营企业法定代表人签字或盖章的授权委托书，授权开展的业务和授权期限</w:t>
      </w:r>
      <w:r>
        <w:rPr>
          <w:rFonts w:hint="eastAsia" w:ascii="仿宋" w:hAnsi="仿宋" w:eastAsia="仿宋" w:cs="仿宋"/>
          <w:sz w:val="24"/>
          <w:szCs w:val="22"/>
          <w:highlight w:val="none"/>
          <w:lang w:val="en-US" w:eastAsia="zh-CN"/>
        </w:rPr>
        <w:t>。</w:t>
      </w:r>
    </w:p>
    <w:p w14:paraId="118BCCE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仿宋" w:hAnsi="仿宋" w:eastAsia="仿宋" w:cs="仿宋"/>
          <w:sz w:val="24"/>
          <w:szCs w:val="22"/>
          <w:highlight w:val="none"/>
          <w:lang w:val="en-US" w:eastAsia="zh-CN"/>
        </w:rPr>
      </w:pPr>
      <w:r>
        <w:rPr>
          <w:rFonts w:hint="eastAsia" w:ascii="仿宋" w:hAnsi="仿宋" w:eastAsia="仿宋" w:cs="仿宋"/>
          <w:sz w:val="24"/>
          <w:szCs w:val="22"/>
          <w:highlight w:val="none"/>
          <w:lang w:val="en-US" w:eastAsia="zh-CN"/>
        </w:rPr>
        <w:t>3.加盖企业公章的《</w:t>
      </w:r>
      <w:r>
        <w:rPr>
          <w:rFonts w:hint="eastAsia" w:ascii="仿宋" w:hAnsi="仿宋" w:eastAsia="仿宋" w:cs="仿宋"/>
          <w:sz w:val="24"/>
          <w:szCs w:val="22"/>
          <w:highlight w:val="none"/>
          <w:lang w:val="en-US" w:eastAsia="en-US"/>
        </w:rPr>
        <w:t>医药代表诚信廉洁承诺书</w:t>
      </w:r>
      <w:r>
        <w:rPr>
          <w:rFonts w:hint="eastAsia" w:ascii="仿宋" w:hAnsi="仿宋" w:eastAsia="仿宋" w:cs="仿宋"/>
          <w:sz w:val="24"/>
          <w:szCs w:val="22"/>
          <w:highlight w:val="none"/>
          <w:lang w:val="en-US" w:eastAsia="zh-CN"/>
        </w:rPr>
        <w:t>》原件(附件3)。</w:t>
      </w:r>
    </w:p>
    <w:p w14:paraId="2C1B3B92">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黑体" w:hAnsi="黑体" w:eastAsia="黑体" w:cs="黑体"/>
          <w:b/>
          <w:bCs/>
          <w:sz w:val="24"/>
          <w:szCs w:val="22"/>
          <w:highlight w:val="none"/>
        </w:rPr>
      </w:pPr>
      <w:r>
        <w:rPr>
          <w:rFonts w:hint="eastAsia" w:ascii="黑体" w:hAnsi="黑体" w:eastAsia="黑体" w:cs="黑体"/>
          <w:b/>
          <w:bCs/>
          <w:sz w:val="24"/>
          <w:szCs w:val="22"/>
          <w:highlight w:val="none"/>
          <w:lang w:val="en-US" w:eastAsia="zh-CN"/>
        </w:rPr>
        <w:t>八</w:t>
      </w:r>
      <w:r>
        <w:rPr>
          <w:rFonts w:hint="eastAsia" w:ascii="黑体" w:hAnsi="黑体" w:eastAsia="黑体" w:cs="黑体"/>
          <w:b/>
          <w:bCs/>
          <w:sz w:val="24"/>
          <w:szCs w:val="22"/>
          <w:highlight w:val="none"/>
        </w:rPr>
        <w:t>、</w:t>
      </w:r>
      <w:r>
        <w:rPr>
          <w:rFonts w:hint="eastAsia" w:ascii="黑体" w:hAnsi="黑体" w:eastAsia="黑体" w:cs="黑体"/>
          <w:b/>
          <w:bCs/>
          <w:sz w:val="24"/>
          <w:szCs w:val="22"/>
          <w:highlight w:val="none"/>
          <w:lang w:eastAsia="zh-CN"/>
        </w:rPr>
        <w:t>推荐</w:t>
      </w:r>
      <w:r>
        <w:rPr>
          <w:rFonts w:hint="eastAsia" w:ascii="黑体" w:hAnsi="黑体" w:eastAsia="黑体" w:cs="黑体"/>
          <w:b/>
          <w:bCs/>
          <w:sz w:val="24"/>
          <w:szCs w:val="22"/>
          <w:highlight w:val="none"/>
        </w:rPr>
        <w:t>方式</w:t>
      </w:r>
    </w:p>
    <w:p w14:paraId="0750971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rPr>
      </w:pPr>
      <w:r>
        <w:rPr>
          <w:rFonts w:hint="eastAsia" w:ascii="仿宋" w:hAnsi="仿宋" w:eastAsia="仿宋" w:cs="仿宋"/>
          <w:sz w:val="24"/>
          <w:szCs w:val="22"/>
          <w:highlight w:val="none"/>
          <w:lang w:val="en-US" w:eastAsia="zh-CN"/>
        </w:rPr>
        <w:t>采用现场推荐</w:t>
      </w:r>
      <w:r>
        <w:rPr>
          <w:rFonts w:hint="eastAsia" w:ascii="仿宋" w:hAnsi="仿宋" w:eastAsia="仿宋" w:cs="仿宋"/>
          <w:sz w:val="24"/>
          <w:szCs w:val="22"/>
          <w:highlight w:val="none"/>
        </w:rPr>
        <w:t>的方式进行，具体</w:t>
      </w:r>
      <w:r>
        <w:rPr>
          <w:rFonts w:hint="eastAsia" w:ascii="仿宋" w:hAnsi="仿宋" w:eastAsia="仿宋" w:cs="仿宋"/>
          <w:sz w:val="24"/>
          <w:szCs w:val="22"/>
          <w:highlight w:val="none"/>
          <w:lang w:val="en-US" w:eastAsia="zh-CN"/>
        </w:rPr>
        <w:t>会议</w:t>
      </w:r>
      <w:r>
        <w:rPr>
          <w:rFonts w:hint="eastAsia" w:ascii="仿宋" w:hAnsi="仿宋" w:eastAsia="仿宋" w:cs="仿宋"/>
          <w:sz w:val="24"/>
          <w:szCs w:val="22"/>
          <w:highlight w:val="none"/>
        </w:rPr>
        <w:t>时间和方式以</w:t>
      </w:r>
      <w:r>
        <w:rPr>
          <w:rFonts w:hint="eastAsia" w:ascii="仿宋" w:hAnsi="仿宋" w:eastAsia="仿宋" w:cs="仿宋"/>
          <w:sz w:val="24"/>
          <w:szCs w:val="22"/>
          <w:highlight w:val="none"/>
          <w:lang w:val="en-US" w:eastAsia="zh-CN"/>
        </w:rPr>
        <w:t>官网</w:t>
      </w:r>
      <w:r>
        <w:rPr>
          <w:rFonts w:hint="eastAsia" w:ascii="仿宋" w:hAnsi="仿宋" w:eastAsia="仿宋" w:cs="仿宋"/>
          <w:sz w:val="24"/>
          <w:szCs w:val="22"/>
          <w:highlight w:val="none"/>
        </w:rPr>
        <w:t>通知为准。</w:t>
      </w:r>
    </w:p>
    <w:p w14:paraId="7B6AABE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rPr>
      </w:pPr>
      <w:r>
        <w:rPr>
          <w:rFonts w:hint="eastAsia" w:ascii="仿宋" w:hAnsi="仿宋" w:eastAsia="仿宋" w:cs="仿宋"/>
          <w:sz w:val="24"/>
          <w:szCs w:val="22"/>
          <w:highlight w:val="none"/>
          <w:lang w:eastAsia="zh-CN"/>
        </w:rPr>
        <w:t>推荐</w:t>
      </w:r>
      <w:r>
        <w:rPr>
          <w:rFonts w:hint="eastAsia" w:ascii="仿宋" w:hAnsi="仿宋" w:eastAsia="仿宋" w:cs="仿宋"/>
          <w:sz w:val="24"/>
          <w:szCs w:val="22"/>
          <w:highlight w:val="none"/>
        </w:rPr>
        <w:t>程序：</w:t>
      </w:r>
    </w:p>
    <w:p w14:paraId="3FE5B8C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eastAsia="zh-CN"/>
        </w:rPr>
      </w:pPr>
      <w:r>
        <w:rPr>
          <w:rFonts w:hint="eastAsia" w:ascii="仿宋" w:hAnsi="仿宋" w:eastAsia="仿宋" w:cs="仿宋"/>
          <w:sz w:val="24"/>
          <w:szCs w:val="22"/>
          <w:highlight w:val="none"/>
        </w:rPr>
        <w:t>1</w:t>
      </w:r>
      <w:r>
        <w:rPr>
          <w:rFonts w:hint="eastAsia" w:ascii="仿宋" w:hAnsi="仿宋" w:eastAsia="仿宋" w:cs="仿宋"/>
          <w:sz w:val="24"/>
          <w:szCs w:val="22"/>
          <w:highlight w:val="none"/>
          <w:lang w:val="en-US" w:eastAsia="zh-CN"/>
        </w:rPr>
        <w:t>.</w:t>
      </w:r>
      <w:r>
        <w:rPr>
          <w:rFonts w:hint="eastAsia" w:ascii="仿宋" w:hAnsi="仿宋" w:eastAsia="仿宋" w:cs="仿宋"/>
          <w:sz w:val="24"/>
          <w:szCs w:val="22"/>
          <w:highlight w:val="none"/>
        </w:rPr>
        <w:t>院方介绍</w:t>
      </w:r>
      <w:r>
        <w:rPr>
          <w:rFonts w:hint="eastAsia" w:ascii="仿宋" w:hAnsi="仿宋" w:eastAsia="仿宋" w:cs="仿宋"/>
          <w:sz w:val="24"/>
          <w:szCs w:val="22"/>
          <w:highlight w:val="none"/>
          <w:lang w:val="en-US" w:eastAsia="zh-CN"/>
        </w:rPr>
        <w:t>医用耗材</w:t>
      </w:r>
      <w:r>
        <w:rPr>
          <w:rFonts w:hint="eastAsia" w:ascii="仿宋" w:hAnsi="仿宋" w:eastAsia="仿宋" w:cs="仿宋"/>
          <w:sz w:val="24"/>
          <w:szCs w:val="22"/>
          <w:highlight w:val="none"/>
        </w:rPr>
        <w:t>需求及相关事项。</w:t>
      </w:r>
    </w:p>
    <w:p w14:paraId="68DD721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eastAsia="zh-CN"/>
        </w:rPr>
      </w:pPr>
      <w:r>
        <w:rPr>
          <w:rFonts w:hint="eastAsia" w:ascii="仿宋" w:hAnsi="仿宋" w:eastAsia="仿宋" w:cs="仿宋"/>
          <w:sz w:val="24"/>
          <w:szCs w:val="22"/>
          <w:highlight w:val="none"/>
        </w:rPr>
        <w:t>2</w:t>
      </w:r>
      <w:r>
        <w:rPr>
          <w:rFonts w:hint="eastAsia" w:ascii="仿宋" w:hAnsi="仿宋" w:eastAsia="仿宋" w:cs="仿宋"/>
          <w:sz w:val="24"/>
          <w:szCs w:val="22"/>
          <w:highlight w:val="none"/>
          <w:lang w:val="en-US" w:eastAsia="zh-CN"/>
        </w:rPr>
        <w:t>.</w:t>
      </w:r>
      <w:r>
        <w:rPr>
          <w:rFonts w:hint="eastAsia" w:ascii="仿宋" w:hAnsi="仿宋" w:eastAsia="仿宋" w:cs="仿宋"/>
          <w:sz w:val="24"/>
          <w:szCs w:val="22"/>
          <w:highlight w:val="none"/>
        </w:rPr>
        <w:t>参加</w:t>
      </w:r>
      <w:r>
        <w:rPr>
          <w:rFonts w:hint="eastAsia" w:ascii="仿宋" w:hAnsi="仿宋" w:eastAsia="仿宋" w:cs="仿宋"/>
          <w:sz w:val="24"/>
          <w:szCs w:val="22"/>
          <w:highlight w:val="none"/>
          <w:lang w:eastAsia="zh-CN"/>
        </w:rPr>
        <w:t>推荐</w:t>
      </w:r>
      <w:r>
        <w:rPr>
          <w:rFonts w:hint="eastAsia" w:ascii="仿宋" w:hAnsi="仿宋" w:eastAsia="仿宋" w:cs="仿宋"/>
          <w:sz w:val="24"/>
          <w:szCs w:val="22"/>
          <w:highlight w:val="none"/>
        </w:rPr>
        <w:t>商家按照要求介绍生产企业及所推荐产品的相关信息，现场</w:t>
      </w:r>
      <w:r>
        <w:rPr>
          <w:rFonts w:hint="eastAsia" w:ascii="仿宋" w:hAnsi="仿宋" w:eastAsia="仿宋" w:cs="仿宋"/>
          <w:sz w:val="24"/>
          <w:szCs w:val="22"/>
          <w:highlight w:val="none"/>
          <w:lang w:eastAsia="zh-CN"/>
        </w:rPr>
        <w:t>推荐</w:t>
      </w:r>
      <w:r>
        <w:rPr>
          <w:rFonts w:hint="eastAsia" w:ascii="仿宋" w:hAnsi="仿宋" w:eastAsia="仿宋" w:cs="仿宋"/>
          <w:sz w:val="24"/>
          <w:szCs w:val="22"/>
          <w:highlight w:val="none"/>
        </w:rPr>
        <w:t>时间控制在1</w:t>
      </w:r>
      <w:r>
        <w:rPr>
          <w:rFonts w:hint="eastAsia" w:ascii="仿宋" w:hAnsi="仿宋" w:eastAsia="仿宋" w:cs="仿宋"/>
          <w:sz w:val="24"/>
          <w:szCs w:val="22"/>
          <w:highlight w:val="none"/>
          <w:lang w:val="en-US" w:eastAsia="zh-CN"/>
        </w:rPr>
        <w:t>0</w:t>
      </w:r>
      <w:r>
        <w:rPr>
          <w:rFonts w:hint="eastAsia" w:ascii="仿宋" w:hAnsi="仿宋" w:eastAsia="仿宋" w:cs="仿宋"/>
          <w:sz w:val="24"/>
          <w:szCs w:val="22"/>
          <w:highlight w:val="none"/>
        </w:rPr>
        <w:t>分钟内。</w:t>
      </w:r>
    </w:p>
    <w:p w14:paraId="2642A17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val="en-US" w:eastAsia="zh-CN"/>
        </w:rPr>
      </w:pPr>
      <w:r>
        <w:rPr>
          <w:rFonts w:hint="eastAsia" w:ascii="仿宋" w:hAnsi="仿宋" w:eastAsia="仿宋" w:cs="仿宋"/>
          <w:sz w:val="24"/>
          <w:szCs w:val="22"/>
          <w:highlight w:val="none"/>
        </w:rPr>
        <w:t>3</w:t>
      </w:r>
      <w:r>
        <w:rPr>
          <w:rFonts w:hint="eastAsia" w:ascii="仿宋" w:hAnsi="仿宋" w:eastAsia="仿宋" w:cs="仿宋"/>
          <w:sz w:val="24"/>
          <w:szCs w:val="22"/>
          <w:highlight w:val="none"/>
          <w:lang w:val="en-US" w:eastAsia="zh-CN"/>
        </w:rPr>
        <w:t>.</w:t>
      </w:r>
      <w:r>
        <w:rPr>
          <w:rFonts w:hint="eastAsia" w:ascii="仿宋" w:hAnsi="仿宋" w:eastAsia="仿宋" w:cs="仿宋"/>
          <w:sz w:val="24"/>
          <w:szCs w:val="22"/>
          <w:highlight w:val="none"/>
        </w:rPr>
        <w:t>接受院方</w:t>
      </w:r>
      <w:r>
        <w:rPr>
          <w:rFonts w:hint="eastAsia" w:ascii="仿宋" w:hAnsi="仿宋" w:eastAsia="仿宋" w:cs="仿宋"/>
          <w:sz w:val="24"/>
          <w:szCs w:val="22"/>
          <w:highlight w:val="none"/>
          <w:lang w:val="en-US" w:eastAsia="zh-CN"/>
        </w:rPr>
        <w:t>论证（调研）</w:t>
      </w:r>
      <w:r>
        <w:rPr>
          <w:rFonts w:hint="eastAsia" w:ascii="仿宋" w:hAnsi="仿宋" w:eastAsia="仿宋" w:cs="仿宋"/>
          <w:sz w:val="24"/>
          <w:szCs w:val="22"/>
          <w:highlight w:val="none"/>
        </w:rPr>
        <w:t>专家组的答疑咨询</w:t>
      </w:r>
      <w:r>
        <w:rPr>
          <w:rFonts w:hint="eastAsia" w:ascii="仿宋" w:hAnsi="仿宋" w:eastAsia="仿宋" w:cs="仿宋"/>
          <w:sz w:val="24"/>
          <w:szCs w:val="22"/>
          <w:highlight w:val="none"/>
          <w:lang w:eastAsia="zh-CN"/>
        </w:rPr>
        <w:t>。</w:t>
      </w:r>
    </w:p>
    <w:p w14:paraId="60A71007">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仿宋" w:hAnsi="仿宋" w:eastAsia="仿宋" w:cs="仿宋"/>
          <w:b/>
          <w:bCs/>
          <w:sz w:val="24"/>
          <w:szCs w:val="22"/>
          <w:highlight w:val="none"/>
        </w:rPr>
      </w:pPr>
      <w:r>
        <w:rPr>
          <w:rFonts w:hint="eastAsia" w:ascii="仿宋" w:hAnsi="仿宋" w:eastAsia="仿宋" w:cs="仿宋"/>
          <w:b/>
          <w:bCs/>
          <w:sz w:val="24"/>
          <w:szCs w:val="22"/>
          <w:highlight w:val="none"/>
        </w:rPr>
        <w:t>注：本次产品</w:t>
      </w:r>
      <w:r>
        <w:rPr>
          <w:rFonts w:hint="eastAsia" w:ascii="仿宋" w:hAnsi="仿宋" w:eastAsia="仿宋" w:cs="仿宋"/>
          <w:b/>
          <w:bCs/>
          <w:sz w:val="24"/>
          <w:szCs w:val="22"/>
          <w:highlight w:val="none"/>
          <w:lang w:eastAsia="zh-CN"/>
        </w:rPr>
        <w:t>推荐</w:t>
      </w:r>
      <w:r>
        <w:rPr>
          <w:rFonts w:hint="eastAsia" w:ascii="仿宋" w:hAnsi="仿宋" w:eastAsia="仿宋" w:cs="仿宋"/>
          <w:b/>
          <w:bCs/>
          <w:sz w:val="24"/>
          <w:szCs w:val="22"/>
          <w:highlight w:val="none"/>
        </w:rPr>
        <w:t>会仅用于医院对产品的性能、价格等进行综合了解，供采购人制定</w:t>
      </w:r>
      <w:r>
        <w:rPr>
          <w:rFonts w:hint="eastAsia" w:ascii="仿宋" w:hAnsi="仿宋" w:eastAsia="仿宋" w:cs="仿宋"/>
          <w:b/>
          <w:bCs/>
          <w:sz w:val="24"/>
          <w:szCs w:val="22"/>
          <w:highlight w:val="none"/>
          <w:lang w:val="en-US" w:eastAsia="zh-CN"/>
        </w:rPr>
        <w:t>采购</w:t>
      </w:r>
      <w:r>
        <w:rPr>
          <w:rFonts w:hint="eastAsia" w:ascii="仿宋" w:hAnsi="仿宋" w:eastAsia="仿宋" w:cs="仿宋"/>
          <w:b/>
          <w:bCs/>
          <w:sz w:val="24"/>
          <w:szCs w:val="22"/>
          <w:highlight w:val="none"/>
        </w:rPr>
        <w:t>需求提供参考。</w:t>
      </w:r>
    </w:p>
    <w:p w14:paraId="74B7DF4B">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黑体" w:hAnsi="黑体" w:eastAsia="黑体" w:cs="黑体"/>
          <w:b/>
          <w:bCs/>
          <w:sz w:val="24"/>
          <w:szCs w:val="22"/>
          <w:highlight w:val="none"/>
          <w:lang w:val="en-US" w:eastAsia="zh-CN"/>
        </w:rPr>
      </w:pPr>
      <w:r>
        <w:rPr>
          <w:rFonts w:hint="eastAsia" w:ascii="黑体" w:hAnsi="黑体" w:eastAsia="黑体" w:cs="黑体"/>
          <w:b/>
          <w:bCs/>
          <w:sz w:val="24"/>
          <w:szCs w:val="22"/>
          <w:highlight w:val="none"/>
          <w:lang w:val="en-US" w:eastAsia="zh-CN"/>
        </w:rPr>
        <w:t>九、推荐资料递交截止时间及推荐会开始时间、地点</w:t>
      </w:r>
    </w:p>
    <w:p w14:paraId="65D9697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rPr>
      </w:pPr>
      <w:r>
        <w:rPr>
          <w:rFonts w:hint="eastAsia" w:ascii="仿宋" w:hAnsi="仿宋" w:eastAsia="仿宋" w:cs="仿宋"/>
          <w:sz w:val="24"/>
          <w:szCs w:val="22"/>
          <w:highlight w:val="none"/>
        </w:rPr>
        <w:t>1</w:t>
      </w:r>
      <w:r>
        <w:rPr>
          <w:rFonts w:hint="eastAsia" w:ascii="仿宋" w:hAnsi="仿宋" w:eastAsia="仿宋" w:cs="仿宋"/>
          <w:sz w:val="24"/>
          <w:szCs w:val="22"/>
          <w:highlight w:val="none"/>
          <w:lang w:val="en-US" w:eastAsia="zh-CN"/>
        </w:rPr>
        <w:t>.</w:t>
      </w:r>
      <w:r>
        <w:rPr>
          <w:rFonts w:hint="eastAsia" w:ascii="仿宋" w:hAnsi="仿宋" w:eastAsia="仿宋" w:cs="仿宋"/>
          <w:sz w:val="24"/>
          <w:szCs w:val="22"/>
          <w:highlight w:val="none"/>
        </w:rPr>
        <w:t>报名范围：凡符合资质条件的潜在供应商均可报名参加。</w:t>
      </w:r>
    </w:p>
    <w:p w14:paraId="07FF624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rPr>
      </w:pPr>
      <w:r>
        <w:rPr>
          <w:rFonts w:hint="eastAsia" w:ascii="仿宋" w:hAnsi="仿宋" w:eastAsia="仿宋" w:cs="仿宋"/>
          <w:sz w:val="24"/>
          <w:szCs w:val="22"/>
          <w:highlight w:val="none"/>
        </w:rPr>
        <w:t>2</w:t>
      </w:r>
      <w:r>
        <w:rPr>
          <w:rFonts w:hint="eastAsia" w:ascii="仿宋" w:hAnsi="仿宋" w:eastAsia="仿宋" w:cs="仿宋"/>
          <w:sz w:val="24"/>
          <w:szCs w:val="22"/>
          <w:highlight w:val="none"/>
          <w:lang w:val="en-US" w:eastAsia="zh-CN"/>
        </w:rPr>
        <w:t>.</w:t>
      </w:r>
      <w:r>
        <w:rPr>
          <w:rFonts w:hint="eastAsia" w:ascii="仿宋" w:hAnsi="仿宋" w:eastAsia="仿宋" w:cs="仿宋"/>
          <w:sz w:val="24"/>
          <w:szCs w:val="22"/>
          <w:highlight w:val="none"/>
        </w:rPr>
        <w:t>报名、递交材料截止时间及地点：202</w:t>
      </w:r>
      <w:r>
        <w:rPr>
          <w:rFonts w:hint="eastAsia" w:ascii="仿宋" w:hAnsi="仿宋" w:eastAsia="仿宋" w:cs="仿宋"/>
          <w:sz w:val="24"/>
          <w:szCs w:val="22"/>
          <w:highlight w:val="none"/>
          <w:lang w:val="en-US" w:eastAsia="zh-CN"/>
        </w:rPr>
        <w:t>6</w:t>
      </w:r>
      <w:r>
        <w:rPr>
          <w:rFonts w:hint="eastAsia" w:ascii="仿宋" w:hAnsi="仿宋" w:eastAsia="仿宋" w:cs="仿宋"/>
          <w:sz w:val="24"/>
          <w:szCs w:val="22"/>
          <w:highlight w:val="none"/>
        </w:rPr>
        <w:t>年</w:t>
      </w:r>
      <w:r>
        <w:rPr>
          <w:rFonts w:hint="eastAsia" w:ascii="仿宋" w:hAnsi="仿宋" w:eastAsia="仿宋" w:cs="仿宋"/>
          <w:sz w:val="24"/>
          <w:szCs w:val="22"/>
          <w:highlight w:val="none"/>
          <w:lang w:val="en-US" w:eastAsia="zh-CN"/>
        </w:rPr>
        <w:t>8</w:t>
      </w:r>
      <w:r>
        <w:rPr>
          <w:rFonts w:hint="eastAsia" w:ascii="仿宋" w:hAnsi="仿宋" w:eastAsia="仿宋" w:cs="仿宋"/>
          <w:sz w:val="24"/>
          <w:szCs w:val="22"/>
          <w:highlight w:val="none"/>
        </w:rPr>
        <w:t>月</w:t>
      </w:r>
      <w:r>
        <w:rPr>
          <w:rFonts w:hint="eastAsia" w:ascii="仿宋" w:hAnsi="仿宋" w:eastAsia="仿宋" w:cs="仿宋"/>
          <w:sz w:val="24"/>
          <w:szCs w:val="22"/>
          <w:highlight w:val="none"/>
          <w:lang w:val="en-US" w:eastAsia="zh-CN"/>
        </w:rPr>
        <w:t>12</w:t>
      </w:r>
      <w:r>
        <w:rPr>
          <w:rFonts w:hint="eastAsia" w:ascii="仿宋" w:hAnsi="仿宋" w:eastAsia="仿宋" w:cs="仿宋"/>
          <w:sz w:val="24"/>
          <w:szCs w:val="22"/>
          <w:highlight w:val="none"/>
        </w:rPr>
        <w:t>日17：30（北京时间、工作时间）前通过邮寄</w:t>
      </w:r>
      <w:r>
        <w:rPr>
          <w:rFonts w:hint="eastAsia" w:ascii="仿宋" w:hAnsi="仿宋" w:eastAsia="仿宋" w:cs="仿宋"/>
          <w:sz w:val="24"/>
          <w:szCs w:val="22"/>
          <w:highlight w:val="none"/>
          <w:lang w:eastAsia="zh-CN"/>
        </w:rPr>
        <w:t>（</w:t>
      </w:r>
      <w:r>
        <w:rPr>
          <w:rFonts w:hint="eastAsia" w:ascii="仿宋" w:hAnsi="仿宋" w:eastAsia="仿宋" w:cs="仿宋"/>
          <w:sz w:val="24"/>
          <w:szCs w:val="22"/>
          <w:highlight w:val="none"/>
          <w:lang w:val="en-US" w:eastAsia="zh-CN"/>
        </w:rPr>
        <w:t>推荐使用顺丰快递</w:t>
      </w:r>
      <w:r>
        <w:rPr>
          <w:rFonts w:hint="eastAsia" w:ascii="仿宋" w:hAnsi="仿宋" w:eastAsia="仿宋" w:cs="仿宋"/>
          <w:sz w:val="24"/>
          <w:szCs w:val="22"/>
          <w:highlight w:val="none"/>
          <w:lang w:eastAsia="zh-CN"/>
        </w:rPr>
        <w:t>）</w:t>
      </w:r>
      <w:r>
        <w:rPr>
          <w:rFonts w:hint="eastAsia" w:ascii="仿宋" w:hAnsi="仿宋" w:eastAsia="仿宋" w:cs="仿宋"/>
          <w:sz w:val="24"/>
          <w:szCs w:val="22"/>
          <w:highlight w:val="none"/>
        </w:rPr>
        <w:t>或现场提交的方式将相关资料递交到广元市第一人民医院</w:t>
      </w:r>
      <w:r>
        <w:rPr>
          <w:rFonts w:hint="eastAsia" w:ascii="仿宋" w:hAnsi="仿宋" w:eastAsia="仿宋" w:cs="仿宋"/>
          <w:sz w:val="24"/>
          <w:szCs w:val="22"/>
          <w:highlight w:val="none"/>
          <w:lang w:eastAsia="zh-CN"/>
        </w:rPr>
        <w:t>医学装备科</w:t>
      </w:r>
      <w:r>
        <w:rPr>
          <w:rFonts w:hint="eastAsia" w:ascii="仿宋" w:hAnsi="仿宋" w:eastAsia="仿宋" w:cs="仿宋"/>
          <w:sz w:val="24"/>
          <w:szCs w:val="22"/>
          <w:highlight w:val="none"/>
        </w:rPr>
        <w:t>，邮寄地址：四川省广元市利州区苴国路中段（广元市第一人民医院），收件人：</w:t>
      </w:r>
      <w:r>
        <w:rPr>
          <w:rFonts w:hint="eastAsia" w:ascii="仿宋" w:hAnsi="仿宋" w:eastAsia="仿宋" w:cs="仿宋"/>
          <w:sz w:val="24"/>
          <w:szCs w:val="22"/>
          <w:highlight w:val="none"/>
          <w:lang w:val="en-US" w:eastAsia="zh-CN"/>
        </w:rPr>
        <w:t>苏</w:t>
      </w:r>
      <w:r>
        <w:rPr>
          <w:rFonts w:hint="eastAsia" w:ascii="仿宋" w:hAnsi="仿宋" w:eastAsia="仿宋" w:cs="仿宋"/>
          <w:sz w:val="24"/>
          <w:szCs w:val="22"/>
          <w:highlight w:val="none"/>
        </w:rPr>
        <w:t>老师，联系电话：0839-33</w:t>
      </w:r>
      <w:r>
        <w:rPr>
          <w:rFonts w:hint="eastAsia" w:ascii="仿宋" w:hAnsi="仿宋" w:eastAsia="仿宋" w:cs="仿宋"/>
          <w:sz w:val="24"/>
          <w:szCs w:val="22"/>
          <w:highlight w:val="none"/>
          <w:lang w:val="en-US" w:eastAsia="zh-CN"/>
        </w:rPr>
        <w:t>06193</w:t>
      </w:r>
      <w:r>
        <w:rPr>
          <w:rFonts w:hint="eastAsia" w:ascii="仿宋" w:hAnsi="仿宋" w:eastAsia="仿宋" w:cs="仿宋"/>
          <w:sz w:val="24"/>
          <w:szCs w:val="22"/>
          <w:highlight w:val="none"/>
        </w:rPr>
        <w:t>，逾期递交的不予受理。</w:t>
      </w:r>
    </w:p>
    <w:p w14:paraId="21D3049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36"/>
          <w:szCs w:val="36"/>
          <w:highlight w:val="none"/>
        </w:rPr>
      </w:pPr>
      <w:r>
        <w:rPr>
          <w:rFonts w:hint="eastAsia" w:ascii="仿宋" w:hAnsi="仿宋" w:eastAsia="仿宋" w:cs="仿宋"/>
          <w:sz w:val="24"/>
          <w:szCs w:val="22"/>
          <w:highlight w:val="none"/>
        </w:rPr>
        <w:t>3</w:t>
      </w:r>
      <w:r>
        <w:rPr>
          <w:rFonts w:hint="eastAsia" w:ascii="仿宋" w:hAnsi="仿宋" w:eastAsia="仿宋" w:cs="仿宋"/>
          <w:sz w:val="24"/>
          <w:szCs w:val="22"/>
          <w:highlight w:val="none"/>
          <w:lang w:val="en-US" w:eastAsia="zh-CN"/>
        </w:rPr>
        <w:t>.</w:t>
      </w:r>
      <w:r>
        <w:rPr>
          <w:rFonts w:hint="eastAsia" w:ascii="仿宋" w:hAnsi="仿宋" w:eastAsia="仿宋" w:cs="仿宋"/>
          <w:sz w:val="24"/>
          <w:szCs w:val="22"/>
          <w:highlight w:val="none"/>
          <w:lang w:eastAsia="zh-CN"/>
        </w:rPr>
        <w:t>推荐</w:t>
      </w:r>
      <w:r>
        <w:rPr>
          <w:rFonts w:hint="eastAsia" w:ascii="仿宋" w:hAnsi="仿宋" w:eastAsia="仿宋" w:cs="仿宋"/>
          <w:sz w:val="24"/>
          <w:szCs w:val="22"/>
          <w:highlight w:val="none"/>
        </w:rPr>
        <w:t>会时间及地点：医院</w:t>
      </w:r>
      <w:r>
        <w:rPr>
          <w:rFonts w:hint="eastAsia" w:ascii="仿宋" w:hAnsi="仿宋" w:eastAsia="仿宋" w:cs="仿宋"/>
          <w:sz w:val="24"/>
          <w:szCs w:val="22"/>
          <w:highlight w:val="none"/>
          <w:lang w:val="en-US" w:eastAsia="zh-CN"/>
        </w:rPr>
        <w:t>根据参与报名推荐供应商情况，</w:t>
      </w:r>
      <w:r>
        <w:rPr>
          <w:rFonts w:hint="eastAsia" w:ascii="仿宋" w:hAnsi="仿宋" w:eastAsia="仿宋" w:cs="仿宋"/>
          <w:sz w:val="24"/>
          <w:szCs w:val="22"/>
          <w:highlight w:val="none"/>
        </w:rPr>
        <w:t>另行通知。</w:t>
      </w:r>
    </w:p>
    <w:p w14:paraId="2A6623D1">
      <w:pPr>
        <w:ind w:firstLine="480" w:firstLineChars="200"/>
        <w:rPr>
          <w:rFonts w:hint="eastAsia" w:ascii="仿宋" w:hAnsi="仿宋" w:eastAsia="仿宋" w:cs="仿宋"/>
          <w:sz w:val="24"/>
          <w:szCs w:val="22"/>
          <w:highlight w:val="none"/>
        </w:rPr>
      </w:pPr>
      <w:r>
        <w:rPr>
          <w:rFonts w:hint="eastAsia" w:ascii="仿宋" w:hAnsi="仿宋" w:eastAsia="仿宋" w:cs="仿宋"/>
          <w:sz w:val="24"/>
          <w:szCs w:val="22"/>
          <w:highlight w:val="none"/>
        </w:rPr>
        <w:t>4</w:t>
      </w:r>
      <w:r>
        <w:rPr>
          <w:rFonts w:hint="eastAsia" w:ascii="仿宋" w:hAnsi="仿宋" w:eastAsia="仿宋" w:cs="仿宋"/>
          <w:sz w:val="24"/>
          <w:szCs w:val="22"/>
          <w:highlight w:val="none"/>
          <w:lang w:val="en-US" w:eastAsia="zh-CN"/>
        </w:rPr>
        <w:t>.</w:t>
      </w:r>
      <w:r>
        <w:rPr>
          <w:rFonts w:hint="eastAsia" w:ascii="仿宋" w:hAnsi="仿宋" w:eastAsia="仿宋" w:cs="仿宋"/>
          <w:sz w:val="24"/>
          <w:szCs w:val="22"/>
          <w:highlight w:val="none"/>
        </w:rPr>
        <w:t xml:space="preserve">联系人及方式： </w:t>
      </w:r>
    </w:p>
    <w:p w14:paraId="59B76D93">
      <w:pPr>
        <w:ind w:firstLine="480" w:firstLineChars="200"/>
        <w:rPr>
          <w:rFonts w:hint="eastAsia" w:ascii="仿宋" w:hAnsi="仿宋" w:eastAsia="仿宋" w:cs="仿宋"/>
          <w:sz w:val="24"/>
          <w:szCs w:val="22"/>
          <w:highlight w:val="none"/>
          <w:lang w:val="en-US" w:eastAsia="zh-CN"/>
        </w:rPr>
      </w:pPr>
      <w:r>
        <w:rPr>
          <w:rFonts w:hint="eastAsia" w:ascii="仿宋" w:hAnsi="仿宋" w:eastAsia="仿宋" w:cs="仿宋"/>
          <w:sz w:val="24"/>
          <w:szCs w:val="22"/>
          <w:highlight w:val="none"/>
        </w:rPr>
        <w:t xml:space="preserve">联系人:  </w:t>
      </w:r>
      <w:r>
        <w:rPr>
          <w:rFonts w:hint="eastAsia" w:ascii="仿宋" w:hAnsi="仿宋" w:eastAsia="仿宋" w:cs="仿宋"/>
          <w:sz w:val="24"/>
          <w:szCs w:val="22"/>
          <w:highlight w:val="none"/>
          <w:lang w:val="en-US" w:eastAsia="zh-CN"/>
        </w:rPr>
        <w:t>医学装备科     苏</w:t>
      </w:r>
      <w:r>
        <w:rPr>
          <w:rFonts w:hint="eastAsia" w:ascii="仿宋" w:hAnsi="仿宋" w:eastAsia="仿宋" w:cs="仿宋"/>
          <w:sz w:val="24"/>
          <w:szCs w:val="22"/>
          <w:highlight w:val="none"/>
        </w:rPr>
        <w:t>老师   联系电话:0839-3306193</w:t>
      </w:r>
    </w:p>
    <w:p w14:paraId="263806DC">
      <w:pPr>
        <w:rPr>
          <w:rFonts w:hint="eastAsia" w:ascii="仿宋" w:hAnsi="仿宋" w:eastAsia="仿宋" w:cs="仿宋"/>
          <w:sz w:val="24"/>
          <w:szCs w:val="22"/>
          <w:highlight w:val="none"/>
        </w:rPr>
      </w:pPr>
      <w:r>
        <w:rPr>
          <w:rFonts w:hint="eastAsia" w:ascii="仿宋" w:hAnsi="仿宋" w:eastAsia="仿宋" w:cs="仿宋"/>
          <w:sz w:val="24"/>
          <w:szCs w:val="22"/>
          <w:highlight w:val="none"/>
        </w:rPr>
        <w:t xml:space="preserve">       </w:t>
      </w:r>
      <w:r>
        <w:rPr>
          <w:rFonts w:hint="eastAsia" w:ascii="仿宋" w:hAnsi="仿宋" w:eastAsia="仿宋" w:cs="仿宋"/>
          <w:sz w:val="24"/>
          <w:szCs w:val="22"/>
          <w:highlight w:val="none"/>
          <w:lang w:val="en-US" w:eastAsia="zh-CN"/>
        </w:rPr>
        <w:t xml:space="preserve">      </w:t>
      </w:r>
      <w:r>
        <w:rPr>
          <w:rFonts w:hint="eastAsia" w:ascii="仿宋" w:hAnsi="仿宋" w:eastAsia="仿宋" w:cs="仿宋"/>
          <w:sz w:val="24"/>
          <w:szCs w:val="22"/>
          <w:highlight w:val="none"/>
        </w:rPr>
        <w:t>院</w:t>
      </w:r>
      <w:r>
        <w:rPr>
          <w:rFonts w:hint="eastAsia" w:ascii="仿宋" w:hAnsi="仿宋" w:eastAsia="仿宋" w:cs="仿宋"/>
          <w:sz w:val="24"/>
          <w:szCs w:val="22"/>
          <w:highlight w:val="none"/>
          <w:lang w:val="en-US" w:eastAsia="zh-CN"/>
        </w:rPr>
        <w:t xml:space="preserve">  </w:t>
      </w:r>
      <w:r>
        <w:rPr>
          <w:rFonts w:hint="eastAsia" w:ascii="仿宋" w:hAnsi="仿宋" w:eastAsia="仿宋" w:cs="仿宋"/>
          <w:sz w:val="24"/>
          <w:szCs w:val="22"/>
          <w:highlight w:val="none"/>
        </w:rPr>
        <w:t>纪</w:t>
      </w:r>
      <w:r>
        <w:rPr>
          <w:rFonts w:hint="eastAsia" w:ascii="仿宋" w:hAnsi="仿宋" w:eastAsia="仿宋" w:cs="仿宋"/>
          <w:sz w:val="24"/>
          <w:szCs w:val="22"/>
          <w:highlight w:val="none"/>
          <w:lang w:val="en-US" w:eastAsia="zh-CN"/>
        </w:rPr>
        <w:t xml:space="preserve">  </w:t>
      </w:r>
      <w:r>
        <w:rPr>
          <w:rFonts w:hint="eastAsia" w:ascii="仿宋" w:hAnsi="仿宋" w:eastAsia="仿宋" w:cs="仿宋"/>
          <w:sz w:val="24"/>
          <w:szCs w:val="22"/>
          <w:highlight w:val="none"/>
        </w:rPr>
        <w:t>委     张</w:t>
      </w:r>
      <w:r>
        <w:rPr>
          <w:rFonts w:hint="eastAsia" w:ascii="仿宋" w:hAnsi="仿宋" w:eastAsia="仿宋" w:cs="仿宋"/>
          <w:sz w:val="24"/>
          <w:szCs w:val="22"/>
          <w:highlight w:val="none"/>
          <w:lang w:val="en-US" w:eastAsia="zh-CN"/>
        </w:rPr>
        <w:t>老师</w:t>
      </w:r>
      <w:r>
        <w:rPr>
          <w:rFonts w:hint="eastAsia" w:ascii="仿宋" w:hAnsi="仿宋" w:eastAsia="仿宋" w:cs="仿宋"/>
          <w:sz w:val="24"/>
          <w:szCs w:val="22"/>
          <w:highlight w:val="none"/>
        </w:rPr>
        <w:t xml:space="preserve">   联系电话:0839-3314132</w:t>
      </w:r>
    </w:p>
    <w:p w14:paraId="7B98E181">
      <w:pPr>
        <w:keepNext w:val="0"/>
        <w:keepLines w:val="0"/>
        <w:pageBreakBefore w:val="0"/>
        <w:widowControl w:val="0"/>
        <w:kinsoku/>
        <w:wordWrap/>
        <w:overflowPunct/>
        <w:topLinePunct w:val="0"/>
        <w:autoSpaceDE/>
        <w:autoSpaceDN/>
        <w:bidi w:val="0"/>
        <w:adjustRightInd/>
        <w:snapToGrid/>
        <w:spacing w:line="440" w:lineRule="exact"/>
        <w:ind w:left="3780" w:firstLine="420"/>
        <w:textAlignment w:val="auto"/>
        <w:rPr>
          <w:rFonts w:hint="eastAsia" w:ascii="仿宋" w:hAnsi="仿宋" w:eastAsia="仿宋" w:cs="仿宋"/>
          <w:sz w:val="28"/>
          <w:szCs w:val="28"/>
          <w:highlight w:val="none"/>
        </w:rPr>
      </w:pPr>
    </w:p>
    <w:p w14:paraId="22763E8F">
      <w:pPr>
        <w:keepNext w:val="0"/>
        <w:keepLines w:val="0"/>
        <w:pageBreakBefore w:val="0"/>
        <w:widowControl w:val="0"/>
        <w:kinsoku/>
        <w:wordWrap/>
        <w:overflowPunct/>
        <w:topLinePunct w:val="0"/>
        <w:autoSpaceDE/>
        <w:autoSpaceDN/>
        <w:bidi w:val="0"/>
        <w:adjustRightInd/>
        <w:snapToGrid/>
        <w:spacing w:line="440" w:lineRule="exact"/>
        <w:ind w:left="3780" w:firstLine="420"/>
        <w:jc w:val="right"/>
        <w:textAlignment w:val="auto"/>
        <w:rPr>
          <w:rFonts w:ascii="仿宋" w:hAnsi="仿宋" w:eastAsia="仿宋" w:cs="仿宋"/>
          <w:sz w:val="24"/>
          <w:szCs w:val="24"/>
          <w:highlight w:val="none"/>
        </w:rPr>
      </w:pPr>
      <w:r>
        <w:rPr>
          <w:rFonts w:hint="eastAsia" w:ascii="仿宋" w:hAnsi="仿宋" w:eastAsia="仿宋" w:cs="仿宋"/>
          <w:sz w:val="24"/>
          <w:szCs w:val="24"/>
          <w:highlight w:val="none"/>
        </w:rPr>
        <w:t>广元市第一人民医院</w:t>
      </w:r>
    </w:p>
    <w:p w14:paraId="7618237E">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仿宋" w:hAnsi="仿宋" w:eastAsia="仿宋" w:cs="仿宋"/>
          <w:color w:val="auto"/>
          <w:sz w:val="28"/>
          <w:szCs w:val="28"/>
          <w:highlight w:val="none"/>
        </w:rPr>
      </w:pPr>
      <w:r>
        <w:rPr>
          <w:rFonts w:hint="eastAsia" w:ascii="仿宋" w:hAnsi="仿宋" w:eastAsia="仿宋" w:cs="仿宋"/>
          <w:sz w:val="24"/>
          <w:szCs w:val="24"/>
          <w:highlight w:val="none"/>
        </w:rPr>
        <w:t xml:space="preserve">    </w:t>
      </w:r>
      <w:r>
        <w:rPr>
          <w:rFonts w:hint="eastAsia" w:ascii="仿宋" w:hAnsi="仿宋" w:eastAsia="仿宋" w:cs="仿宋"/>
          <w:sz w:val="24"/>
          <w:szCs w:val="24"/>
          <w:highlight w:val="none"/>
        </w:rPr>
        <w:tab/>
      </w:r>
      <w:r>
        <w:rPr>
          <w:rFonts w:hint="eastAsia" w:ascii="仿宋" w:hAnsi="仿宋" w:eastAsia="仿宋" w:cs="仿宋"/>
          <w:sz w:val="24"/>
          <w:szCs w:val="24"/>
          <w:highlight w:val="none"/>
        </w:rPr>
        <w:tab/>
      </w:r>
      <w:r>
        <w:rPr>
          <w:rFonts w:hint="eastAsia" w:ascii="仿宋" w:hAnsi="仿宋" w:eastAsia="仿宋" w:cs="仿宋"/>
          <w:sz w:val="24"/>
          <w:szCs w:val="24"/>
          <w:highlight w:val="none"/>
        </w:rPr>
        <w:tab/>
      </w:r>
      <w:r>
        <w:rPr>
          <w:rFonts w:hint="eastAsia" w:ascii="仿宋" w:hAnsi="仿宋" w:eastAsia="仿宋" w:cs="仿宋"/>
          <w:sz w:val="24"/>
          <w:szCs w:val="24"/>
          <w:highlight w:val="none"/>
        </w:rPr>
        <w:tab/>
      </w:r>
      <w:r>
        <w:rPr>
          <w:rFonts w:hint="eastAsia" w:ascii="仿宋" w:hAnsi="仿宋" w:eastAsia="仿宋" w:cs="仿宋"/>
          <w:sz w:val="24"/>
          <w:szCs w:val="24"/>
          <w:highlight w:val="none"/>
        </w:rPr>
        <w:tab/>
      </w:r>
      <w:r>
        <w:rPr>
          <w:rFonts w:hint="eastAsia" w:ascii="仿宋" w:hAnsi="仿宋" w:eastAsia="仿宋" w:cs="仿宋"/>
          <w:sz w:val="24"/>
          <w:szCs w:val="24"/>
          <w:highlight w:val="none"/>
        </w:rPr>
        <w:t xml:space="preserve">             </w:t>
      </w:r>
      <w:r>
        <w:rPr>
          <w:rFonts w:hint="eastAsia" w:ascii="仿宋" w:hAnsi="仿宋" w:eastAsia="仿宋" w:cs="仿宋"/>
          <w:color w:val="auto"/>
          <w:sz w:val="24"/>
          <w:szCs w:val="24"/>
          <w:highlight w:val="none"/>
        </w:rPr>
        <w:t xml:space="preserve"> 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31</w:t>
      </w:r>
      <w:r>
        <w:rPr>
          <w:rFonts w:hint="eastAsia" w:ascii="仿宋" w:hAnsi="仿宋" w:eastAsia="仿宋" w:cs="仿宋"/>
          <w:color w:val="auto"/>
          <w:sz w:val="24"/>
          <w:szCs w:val="24"/>
          <w:highlight w:val="none"/>
        </w:rPr>
        <w:t>日</w:t>
      </w:r>
    </w:p>
    <w:p w14:paraId="350E0AF7">
      <w:pPr>
        <w:spacing w:line="460" w:lineRule="exact"/>
        <w:ind w:firstLine="560" w:firstLineChars="200"/>
        <w:rPr>
          <w:rFonts w:hint="default" w:ascii="仿宋" w:hAnsi="仿宋" w:eastAsia="仿宋" w:cs="仿宋"/>
          <w:color w:val="auto"/>
          <w:sz w:val="28"/>
          <w:szCs w:val="28"/>
          <w:highlight w:val="none"/>
          <w:lang w:val="en-US" w:eastAsia="zh-CN"/>
        </w:rPr>
      </w:pPr>
    </w:p>
    <w:p w14:paraId="51E03078">
      <w:pPr>
        <w:rPr>
          <w:rFonts w:hint="eastAsia" w:ascii="仿宋" w:hAnsi="仿宋" w:eastAsia="仿宋" w:cs="仿宋"/>
          <w:sz w:val="28"/>
          <w:szCs w:val="28"/>
          <w:highlight w:val="none"/>
          <w:lang w:val="en-US" w:eastAsia="zh-CN"/>
        </w:rPr>
      </w:pPr>
    </w:p>
    <w:p w14:paraId="6ADD26D2">
      <w:pPr>
        <w:rPr>
          <w:rFonts w:hint="default" w:ascii="仿宋" w:hAnsi="仿宋" w:eastAsia="仿宋" w:cs="仿宋"/>
          <w:sz w:val="28"/>
          <w:szCs w:val="28"/>
          <w:highlight w:val="none"/>
          <w:lang w:val="en-US" w:eastAsia="zh-CN"/>
        </w:rPr>
        <w:sectPr>
          <w:pgSz w:w="11906" w:h="16838"/>
          <w:pgMar w:top="1440" w:right="1800" w:bottom="1440" w:left="1800" w:header="851" w:footer="992" w:gutter="0"/>
          <w:cols w:space="425" w:num="1"/>
          <w:docGrid w:type="lines" w:linePitch="312" w:charSpace="0"/>
        </w:sectPr>
      </w:pPr>
    </w:p>
    <w:p w14:paraId="08F76C02">
      <w:pPr>
        <w:widowControl/>
        <w:spacing w:line="560" w:lineRule="exact"/>
        <w:jc w:val="left"/>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附件</w:t>
      </w:r>
      <w:r>
        <w:rPr>
          <w:rFonts w:hint="eastAsia" w:ascii="仿宋" w:hAnsi="仿宋" w:eastAsia="仿宋" w:cs="仿宋"/>
          <w:kern w:val="0"/>
          <w:sz w:val="32"/>
          <w:szCs w:val="32"/>
          <w:highlight w:val="none"/>
          <w:lang w:val="en-US" w:eastAsia="zh-CN"/>
        </w:rPr>
        <w:t>1</w:t>
      </w:r>
      <w:r>
        <w:rPr>
          <w:rFonts w:hint="eastAsia" w:ascii="仿宋" w:hAnsi="仿宋" w:eastAsia="仿宋" w:cs="仿宋"/>
          <w:kern w:val="0"/>
          <w:sz w:val="32"/>
          <w:szCs w:val="32"/>
          <w:highlight w:val="none"/>
        </w:rPr>
        <w:t>：</w:t>
      </w:r>
    </w:p>
    <w:p w14:paraId="7A59A7CA">
      <w:pPr>
        <w:widowControl/>
        <w:spacing w:line="560" w:lineRule="exact"/>
        <w:jc w:val="center"/>
        <w:rPr>
          <w:rFonts w:hint="eastAsia" w:ascii="华文中宋" w:hAnsi="华文中宋" w:eastAsia="华文中宋" w:cs="华文中宋"/>
          <w:kern w:val="0"/>
          <w:sz w:val="32"/>
          <w:szCs w:val="32"/>
          <w:highlight w:val="none"/>
        </w:rPr>
      </w:pPr>
      <w:r>
        <w:rPr>
          <w:rFonts w:hint="eastAsia" w:ascii="华文中宋" w:hAnsi="华文中宋" w:eastAsia="华文中宋" w:cs="华文中宋"/>
          <w:kern w:val="0"/>
          <w:sz w:val="32"/>
          <w:szCs w:val="32"/>
          <w:highlight w:val="none"/>
          <w:lang w:val="en-US" w:eastAsia="zh-CN"/>
        </w:rPr>
        <w:t>推荐</w:t>
      </w:r>
      <w:r>
        <w:rPr>
          <w:rFonts w:hint="eastAsia" w:ascii="华文中宋" w:hAnsi="华文中宋" w:eastAsia="华文中宋" w:cs="华文中宋"/>
          <w:kern w:val="0"/>
          <w:sz w:val="32"/>
          <w:szCs w:val="32"/>
          <w:highlight w:val="none"/>
        </w:rPr>
        <w:t>产品信息表</w:t>
      </w:r>
    </w:p>
    <w:p w14:paraId="23EA14CB">
      <w:pPr>
        <w:widowControl/>
        <w:spacing w:line="560" w:lineRule="exact"/>
        <w:jc w:val="left"/>
        <w:rPr>
          <w:rFonts w:hint="eastAsia" w:ascii="仿宋_GB2312" w:hAnsi="宋体" w:eastAsia="仿宋_GB2312" w:cs="宋体"/>
          <w:kern w:val="0"/>
          <w:sz w:val="32"/>
          <w:szCs w:val="32"/>
          <w:highlight w:val="none"/>
        </w:rPr>
      </w:pPr>
    </w:p>
    <w:tbl>
      <w:tblPr>
        <w:tblStyle w:val="7"/>
        <w:tblW w:w="14056"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
        <w:gridCol w:w="1567"/>
        <w:gridCol w:w="1146"/>
        <w:gridCol w:w="1012"/>
        <w:gridCol w:w="988"/>
        <w:gridCol w:w="1200"/>
        <w:gridCol w:w="1850"/>
        <w:gridCol w:w="911"/>
        <w:gridCol w:w="951"/>
        <w:gridCol w:w="1050"/>
        <w:gridCol w:w="1338"/>
        <w:gridCol w:w="512"/>
        <w:gridCol w:w="1124"/>
      </w:tblGrid>
      <w:tr w14:paraId="411AB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407" w:type="dxa"/>
            <w:tcBorders>
              <w:top w:val="single" w:color="auto" w:sz="4" w:space="0"/>
              <w:left w:val="single" w:color="auto" w:sz="4" w:space="0"/>
              <w:bottom w:val="single" w:color="auto" w:sz="4" w:space="0"/>
              <w:right w:val="single" w:color="auto" w:sz="4" w:space="0"/>
            </w:tcBorders>
            <w:noWrap w:val="0"/>
            <w:vAlign w:val="center"/>
          </w:tcPr>
          <w:p w14:paraId="4C92141D">
            <w:pPr>
              <w:widowControl/>
              <w:spacing w:line="360" w:lineRule="atLeast"/>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序号</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494DA614">
            <w:pPr>
              <w:widowControl/>
              <w:spacing w:line="360" w:lineRule="atLeast"/>
              <w:jc w:val="center"/>
              <w:rPr>
                <w:rFonts w:hint="eastAsia" w:ascii="仿宋" w:hAnsi="仿宋" w:eastAsia="仿宋" w:cs="仿宋"/>
                <w:kern w:val="0"/>
                <w:sz w:val="22"/>
                <w:szCs w:val="22"/>
                <w:highlight w:val="none"/>
                <w:lang w:val="en-US" w:eastAsia="zh-CN"/>
              </w:rPr>
            </w:pPr>
            <w:r>
              <w:rPr>
                <w:rFonts w:hint="eastAsia" w:ascii="仿宋" w:hAnsi="仿宋" w:eastAsia="仿宋" w:cs="仿宋"/>
                <w:kern w:val="0"/>
                <w:sz w:val="22"/>
                <w:szCs w:val="22"/>
                <w:highlight w:val="none"/>
                <w:lang w:val="en-US" w:eastAsia="zh-CN"/>
              </w:rPr>
              <w:t>注册证</w:t>
            </w:r>
          </w:p>
          <w:p w14:paraId="19C9E26E">
            <w:pPr>
              <w:widowControl/>
              <w:spacing w:line="360" w:lineRule="atLeast"/>
              <w:jc w:val="center"/>
              <w:rPr>
                <w:rFonts w:hint="default" w:ascii="仿宋" w:hAnsi="仿宋" w:eastAsia="仿宋" w:cs="仿宋"/>
                <w:kern w:val="0"/>
                <w:sz w:val="22"/>
                <w:szCs w:val="22"/>
                <w:highlight w:val="none"/>
                <w:lang w:val="en-US" w:eastAsia="zh-CN"/>
              </w:rPr>
            </w:pPr>
            <w:r>
              <w:rPr>
                <w:rFonts w:hint="eastAsia" w:ascii="仿宋" w:hAnsi="仿宋" w:eastAsia="仿宋" w:cs="仿宋"/>
                <w:kern w:val="0"/>
                <w:sz w:val="22"/>
                <w:szCs w:val="22"/>
                <w:highlight w:val="none"/>
                <w:lang w:val="en-US" w:eastAsia="zh-CN"/>
              </w:rPr>
              <w:t>名称</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220D57CC">
            <w:pPr>
              <w:widowControl/>
              <w:spacing w:line="360" w:lineRule="atLeast"/>
              <w:jc w:val="center"/>
              <w:rPr>
                <w:rFonts w:hint="default" w:ascii="仿宋" w:hAnsi="仿宋" w:eastAsia="仿宋" w:cs="仿宋"/>
                <w:kern w:val="0"/>
                <w:sz w:val="22"/>
                <w:szCs w:val="22"/>
                <w:highlight w:val="none"/>
                <w:lang w:val="en-US" w:eastAsia="zh-CN"/>
              </w:rPr>
            </w:pPr>
            <w:r>
              <w:rPr>
                <w:rFonts w:hint="eastAsia" w:ascii="仿宋" w:hAnsi="仿宋" w:eastAsia="仿宋" w:cs="仿宋"/>
                <w:kern w:val="0"/>
                <w:sz w:val="22"/>
                <w:szCs w:val="22"/>
                <w:highlight w:val="none"/>
                <w:lang w:val="en-US" w:eastAsia="zh-CN"/>
              </w:rPr>
              <w:t>商品代码</w:t>
            </w:r>
          </w:p>
        </w:tc>
        <w:tc>
          <w:tcPr>
            <w:tcW w:w="1012" w:type="dxa"/>
            <w:tcBorders>
              <w:top w:val="single" w:color="auto" w:sz="4" w:space="0"/>
              <w:left w:val="single" w:color="auto" w:sz="4" w:space="0"/>
              <w:bottom w:val="single" w:color="auto" w:sz="4" w:space="0"/>
              <w:right w:val="single" w:color="auto" w:sz="4" w:space="0"/>
            </w:tcBorders>
            <w:noWrap w:val="0"/>
            <w:vAlign w:val="center"/>
          </w:tcPr>
          <w:p w14:paraId="56043817">
            <w:pPr>
              <w:widowControl/>
              <w:spacing w:line="360" w:lineRule="atLeast"/>
              <w:jc w:val="center"/>
              <w:rPr>
                <w:rFonts w:hint="eastAsia" w:ascii="仿宋" w:hAnsi="仿宋" w:eastAsia="仿宋" w:cs="仿宋"/>
                <w:kern w:val="0"/>
                <w:sz w:val="22"/>
                <w:szCs w:val="22"/>
                <w:highlight w:val="none"/>
                <w:lang w:val="en-US" w:eastAsia="zh-CN"/>
              </w:rPr>
            </w:pPr>
            <w:r>
              <w:rPr>
                <w:rFonts w:hint="eastAsia" w:ascii="仿宋" w:hAnsi="仿宋" w:eastAsia="仿宋" w:cs="仿宋"/>
                <w:kern w:val="0"/>
                <w:sz w:val="22"/>
                <w:szCs w:val="22"/>
                <w:highlight w:val="none"/>
                <w:lang w:val="en-US" w:eastAsia="zh-CN"/>
              </w:rPr>
              <w:t>规格</w:t>
            </w:r>
          </w:p>
        </w:tc>
        <w:tc>
          <w:tcPr>
            <w:tcW w:w="988" w:type="dxa"/>
            <w:tcBorders>
              <w:top w:val="single" w:color="auto" w:sz="4" w:space="0"/>
              <w:left w:val="single" w:color="auto" w:sz="4" w:space="0"/>
              <w:bottom w:val="single" w:color="auto" w:sz="4" w:space="0"/>
              <w:right w:val="single" w:color="auto" w:sz="4" w:space="0"/>
            </w:tcBorders>
            <w:noWrap w:val="0"/>
            <w:vAlign w:val="center"/>
          </w:tcPr>
          <w:p w14:paraId="61054C1F">
            <w:pPr>
              <w:widowControl/>
              <w:spacing w:line="360" w:lineRule="atLeast"/>
              <w:jc w:val="center"/>
              <w:rPr>
                <w:rFonts w:hint="eastAsia" w:ascii="仿宋" w:hAnsi="仿宋" w:eastAsia="仿宋" w:cs="仿宋"/>
                <w:kern w:val="0"/>
                <w:sz w:val="22"/>
                <w:szCs w:val="22"/>
                <w:highlight w:val="none"/>
                <w:lang w:val="en-US" w:eastAsia="zh-CN"/>
              </w:rPr>
            </w:pPr>
            <w:r>
              <w:rPr>
                <w:rFonts w:hint="eastAsia" w:ascii="仿宋" w:hAnsi="仿宋" w:eastAsia="仿宋" w:cs="仿宋"/>
                <w:kern w:val="0"/>
                <w:sz w:val="22"/>
                <w:szCs w:val="22"/>
                <w:highlight w:val="none"/>
                <w:lang w:val="en-US" w:eastAsia="zh-CN"/>
              </w:rPr>
              <w:t>型号</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9DDB490">
            <w:pPr>
              <w:widowControl/>
              <w:spacing w:line="360" w:lineRule="atLeast"/>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注册证号</w:t>
            </w:r>
          </w:p>
        </w:tc>
        <w:tc>
          <w:tcPr>
            <w:tcW w:w="1850" w:type="dxa"/>
            <w:tcBorders>
              <w:top w:val="single" w:color="auto" w:sz="4" w:space="0"/>
              <w:left w:val="single" w:color="auto" w:sz="4" w:space="0"/>
              <w:bottom w:val="single" w:color="auto" w:sz="4" w:space="0"/>
              <w:right w:val="single" w:color="auto" w:sz="4" w:space="0"/>
            </w:tcBorders>
            <w:noWrap w:val="0"/>
            <w:vAlign w:val="center"/>
          </w:tcPr>
          <w:p w14:paraId="577B0FB5">
            <w:pPr>
              <w:widowControl/>
              <w:spacing w:line="360" w:lineRule="atLeast"/>
              <w:jc w:val="center"/>
              <w:rPr>
                <w:rFonts w:hint="default" w:ascii="仿宋" w:hAnsi="仿宋" w:eastAsia="仿宋" w:cs="仿宋"/>
                <w:kern w:val="0"/>
                <w:sz w:val="22"/>
                <w:szCs w:val="22"/>
                <w:highlight w:val="none"/>
                <w:lang w:val="en-US" w:eastAsia="zh-CN"/>
              </w:rPr>
            </w:pPr>
            <w:r>
              <w:rPr>
                <w:rFonts w:hint="eastAsia" w:ascii="仿宋" w:hAnsi="仿宋" w:eastAsia="仿宋" w:cs="仿宋"/>
                <w:kern w:val="0"/>
                <w:sz w:val="22"/>
                <w:szCs w:val="22"/>
                <w:highlight w:val="none"/>
                <w:lang w:val="en-US" w:eastAsia="zh-CN"/>
              </w:rPr>
              <w:t>医保编码（27位）</w:t>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2EB1767B">
            <w:pPr>
              <w:widowControl/>
              <w:spacing w:line="360" w:lineRule="atLeast"/>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生产</w:t>
            </w:r>
            <w:r>
              <w:rPr>
                <w:rFonts w:hint="eastAsia" w:ascii="仿宋" w:hAnsi="仿宋" w:eastAsia="仿宋" w:cs="仿宋"/>
                <w:kern w:val="0"/>
                <w:sz w:val="22"/>
                <w:szCs w:val="22"/>
                <w:highlight w:val="none"/>
                <w:lang w:val="en-US" w:eastAsia="zh-CN"/>
              </w:rPr>
              <w:t>企业</w:t>
            </w:r>
          </w:p>
        </w:tc>
        <w:tc>
          <w:tcPr>
            <w:tcW w:w="951" w:type="dxa"/>
            <w:tcBorders>
              <w:top w:val="single" w:color="auto" w:sz="4" w:space="0"/>
              <w:left w:val="single" w:color="auto" w:sz="4" w:space="0"/>
              <w:bottom w:val="single" w:color="auto" w:sz="4" w:space="0"/>
              <w:right w:val="single" w:color="auto" w:sz="4" w:space="0"/>
            </w:tcBorders>
            <w:noWrap w:val="0"/>
            <w:vAlign w:val="center"/>
          </w:tcPr>
          <w:p w14:paraId="05C3414F">
            <w:pPr>
              <w:widowControl/>
              <w:spacing w:line="360" w:lineRule="atLeast"/>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lang w:val="en-US" w:eastAsia="zh-CN"/>
              </w:rPr>
              <w:t>是否专机专用</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424DA981">
            <w:pPr>
              <w:widowControl/>
              <w:spacing w:line="360" w:lineRule="atLeast"/>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联系人</w:t>
            </w:r>
          </w:p>
        </w:tc>
        <w:tc>
          <w:tcPr>
            <w:tcW w:w="1338" w:type="dxa"/>
            <w:tcBorders>
              <w:top w:val="single" w:color="auto" w:sz="4" w:space="0"/>
              <w:left w:val="single" w:color="auto" w:sz="4" w:space="0"/>
              <w:bottom w:val="single" w:color="auto" w:sz="4" w:space="0"/>
              <w:right w:val="single" w:color="auto" w:sz="4" w:space="0"/>
            </w:tcBorders>
            <w:noWrap w:val="0"/>
            <w:vAlign w:val="center"/>
          </w:tcPr>
          <w:p w14:paraId="2E060BDF">
            <w:pPr>
              <w:widowControl/>
              <w:spacing w:line="360" w:lineRule="atLeast"/>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联系方式</w:t>
            </w:r>
          </w:p>
        </w:tc>
        <w:tc>
          <w:tcPr>
            <w:tcW w:w="512" w:type="dxa"/>
            <w:tcBorders>
              <w:top w:val="single" w:color="auto" w:sz="4" w:space="0"/>
              <w:left w:val="single" w:color="auto" w:sz="4" w:space="0"/>
              <w:bottom w:val="single" w:color="auto" w:sz="4" w:space="0"/>
              <w:right w:val="single" w:color="auto" w:sz="4" w:space="0"/>
            </w:tcBorders>
            <w:noWrap w:val="0"/>
            <w:vAlign w:val="center"/>
          </w:tcPr>
          <w:p w14:paraId="68793C50">
            <w:pPr>
              <w:widowControl/>
              <w:spacing w:line="360" w:lineRule="atLeast"/>
              <w:jc w:val="center"/>
              <w:rPr>
                <w:rFonts w:hint="eastAsia" w:ascii="仿宋" w:hAnsi="仿宋" w:eastAsia="仿宋" w:cs="仿宋"/>
                <w:kern w:val="0"/>
                <w:sz w:val="22"/>
                <w:szCs w:val="22"/>
                <w:highlight w:val="none"/>
                <w:lang w:val="en-US" w:eastAsia="zh-CN"/>
              </w:rPr>
            </w:pPr>
            <w:r>
              <w:rPr>
                <w:rFonts w:hint="eastAsia" w:ascii="仿宋" w:hAnsi="仿宋" w:eastAsia="仿宋" w:cs="仿宋"/>
                <w:kern w:val="0"/>
                <w:sz w:val="22"/>
                <w:szCs w:val="22"/>
                <w:highlight w:val="none"/>
                <w:lang w:val="en-US" w:eastAsia="zh-CN"/>
              </w:rPr>
              <w:t>单位</w:t>
            </w:r>
          </w:p>
        </w:tc>
        <w:tc>
          <w:tcPr>
            <w:tcW w:w="1124" w:type="dxa"/>
            <w:tcBorders>
              <w:top w:val="single" w:color="auto" w:sz="4" w:space="0"/>
              <w:left w:val="single" w:color="auto" w:sz="4" w:space="0"/>
              <w:bottom w:val="single" w:color="auto" w:sz="4" w:space="0"/>
              <w:right w:val="single" w:color="auto" w:sz="4" w:space="0"/>
            </w:tcBorders>
            <w:noWrap w:val="0"/>
            <w:vAlign w:val="center"/>
          </w:tcPr>
          <w:p w14:paraId="511C1D49">
            <w:pPr>
              <w:widowControl/>
              <w:spacing w:line="360" w:lineRule="atLeast"/>
              <w:ind w:left="240" w:hanging="220" w:hangingChars="100"/>
              <w:jc w:val="center"/>
              <w:rPr>
                <w:rFonts w:hint="default" w:ascii="仿宋" w:hAnsi="仿宋" w:eastAsia="仿宋" w:cs="仿宋"/>
                <w:kern w:val="0"/>
                <w:sz w:val="22"/>
                <w:szCs w:val="22"/>
                <w:highlight w:val="none"/>
                <w:lang w:val="en-US" w:eastAsia="zh-CN"/>
              </w:rPr>
            </w:pPr>
            <w:r>
              <w:rPr>
                <w:rFonts w:hint="eastAsia" w:ascii="仿宋" w:hAnsi="仿宋" w:eastAsia="仿宋" w:cs="仿宋"/>
                <w:kern w:val="0"/>
                <w:sz w:val="22"/>
                <w:szCs w:val="22"/>
                <w:highlight w:val="none"/>
              </w:rPr>
              <w:t>价格（元）</w:t>
            </w:r>
          </w:p>
        </w:tc>
      </w:tr>
      <w:tr w14:paraId="700F4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407" w:type="dxa"/>
            <w:tcBorders>
              <w:top w:val="single" w:color="auto" w:sz="4" w:space="0"/>
              <w:left w:val="single" w:color="auto" w:sz="4" w:space="0"/>
              <w:bottom w:val="single" w:color="auto" w:sz="4" w:space="0"/>
              <w:right w:val="single" w:color="auto" w:sz="4" w:space="0"/>
            </w:tcBorders>
            <w:noWrap w:val="0"/>
            <w:vAlign w:val="top"/>
          </w:tcPr>
          <w:p w14:paraId="25E68591">
            <w:pPr>
              <w:widowControl/>
              <w:jc w:val="left"/>
              <w:rPr>
                <w:rFonts w:hint="eastAsia" w:ascii="仿宋_GB2312" w:hAnsi="宋体" w:eastAsia="仿宋_GB2312" w:cs="宋体"/>
                <w:kern w:val="0"/>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noWrap w:val="0"/>
            <w:vAlign w:val="top"/>
          </w:tcPr>
          <w:p w14:paraId="44D892DB">
            <w:pPr>
              <w:widowControl/>
              <w:jc w:val="left"/>
              <w:rPr>
                <w:rFonts w:hint="eastAsia" w:ascii="宋体" w:hAnsi="宋体" w:eastAsia="仿宋_GB2312" w:cs="宋体"/>
                <w:kern w:val="0"/>
                <w:sz w:val="24"/>
                <w:szCs w:val="24"/>
                <w:highlight w:val="none"/>
              </w:rPr>
            </w:pPr>
          </w:p>
        </w:tc>
        <w:tc>
          <w:tcPr>
            <w:tcW w:w="1146" w:type="dxa"/>
            <w:tcBorders>
              <w:top w:val="single" w:color="auto" w:sz="4" w:space="0"/>
              <w:left w:val="single" w:color="auto" w:sz="4" w:space="0"/>
              <w:bottom w:val="single" w:color="auto" w:sz="4" w:space="0"/>
              <w:right w:val="single" w:color="auto" w:sz="4" w:space="0"/>
            </w:tcBorders>
            <w:noWrap w:val="0"/>
            <w:vAlign w:val="top"/>
          </w:tcPr>
          <w:p w14:paraId="48984F14">
            <w:pPr>
              <w:widowControl/>
              <w:jc w:val="left"/>
              <w:rPr>
                <w:rFonts w:hint="eastAsia" w:ascii="宋体" w:hAnsi="宋体" w:eastAsia="仿宋_GB2312" w:cs="宋体"/>
                <w:kern w:val="0"/>
                <w:sz w:val="24"/>
                <w:szCs w:val="24"/>
                <w:highlight w:val="none"/>
              </w:rPr>
            </w:pPr>
          </w:p>
        </w:tc>
        <w:tc>
          <w:tcPr>
            <w:tcW w:w="1012" w:type="dxa"/>
            <w:tcBorders>
              <w:top w:val="single" w:color="auto" w:sz="4" w:space="0"/>
              <w:left w:val="single" w:color="auto" w:sz="4" w:space="0"/>
              <w:bottom w:val="single" w:color="auto" w:sz="4" w:space="0"/>
              <w:right w:val="single" w:color="auto" w:sz="4" w:space="0"/>
            </w:tcBorders>
            <w:noWrap w:val="0"/>
            <w:vAlign w:val="top"/>
          </w:tcPr>
          <w:p w14:paraId="4E1F3006">
            <w:pPr>
              <w:widowControl/>
              <w:jc w:val="left"/>
              <w:rPr>
                <w:rFonts w:hint="eastAsia" w:ascii="宋体" w:hAnsi="宋体" w:eastAsia="仿宋_GB2312" w:cs="宋体"/>
                <w:kern w:val="0"/>
                <w:sz w:val="24"/>
                <w:szCs w:val="24"/>
                <w:highlight w:val="none"/>
              </w:rPr>
            </w:pPr>
          </w:p>
        </w:tc>
        <w:tc>
          <w:tcPr>
            <w:tcW w:w="988" w:type="dxa"/>
            <w:tcBorders>
              <w:top w:val="single" w:color="auto" w:sz="4" w:space="0"/>
              <w:left w:val="single" w:color="auto" w:sz="4" w:space="0"/>
              <w:bottom w:val="single" w:color="auto" w:sz="4" w:space="0"/>
              <w:right w:val="single" w:color="auto" w:sz="4" w:space="0"/>
            </w:tcBorders>
            <w:noWrap w:val="0"/>
            <w:vAlign w:val="top"/>
          </w:tcPr>
          <w:p w14:paraId="2A46CD13">
            <w:pPr>
              <w:widowControl/>
              <w:jc w:val="left"/>
              <w:rPr>
                <w:rFonts w:hint="eastAsia" w:ascii="宋体" w:hAnsi="宋体" w:eastAsia="仿宋_GB2312" w:cs="宋体"/>
                <w:kern w:val="0"/>
                <w:sz w:val="24"/>
                <w:szCs w:val="24"/>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63567BE5">
            <w:pPr>
              <w:widowControl/>
              <w:jc w:val="left"/>
              <w:rPr>
                <w:rFonts w:hint="eastAsia" w:ascii="宋体" w:hAnsi="宋体" w:eastAsia="仿宋_GB2312" w:cs="宋体"/>
                <w:kern w:val="0"/>
                <w:sz w:val="24"/>
                <w:szCs w:val="24"/>
                <w:highlight w:val="none"/>
              </w:rPr>
            </w:pPr>
          </w:p>
        </w:tc>
        <w:tc>
          <w:tcPr>
            <w:tcW w:w="1850" w:type="dxa"/>
            <w:tcBorders>
              <w:top w:val="single" w:color="auto" w:sz="4" w:space="0"/>
              <w:left w:val="single" w:color="auto" w:sz="4" w:space="0"/>
              <w:bottom w:val="single" w:color="auto" w:sz="4" w:space="0"/>
              <w:right w:val="single" w:color="auto" w:sz="4" w:space="0"/>
            </w:tcBorders>
            <w:noWrap w:val="0"/>
            <w:vAlign w:val="top"/>
          </w:tcPr>
          <w:p w14:paraId="2FF047CC">
            <w:pPr>
              <w:widowControl/>
              <w:jc w:val="left"/>
              <w:rPr>
                <w:rFonts w:hint="eastAsia" w:ascii="宋体" w:hAnsi="宋体" w:eastAsia="仿宋_GB2312" w:cs="宋体"/>
                <w:kern w:val="0"/>
                <w:sz w:val="24"/>
                <w:szCs w:val="24"/>
                <w:highlight w:val="none"/>
              </w:rPr>
            </w:pPr>
          </w:p>
        </w:tc>
        <w:tc>
          <w:tcPr>
            <w:tcW w:w="911" w:type="dxa"/>
            <w:tcBorders>
              <w:top w:val="single" w:color="auto" w:sz="4" w:space="0"/>
              <w:left w:val="single" w:color="auto" w:sz="4" w:space="0"/>
              <w:bottom w:val="single" w:color="auto" w:sz="4" w:space="0"/>
              <w:right w:val="single" w:color="auto" w:sz="4" w:space="0"/>
            </w:tcBorders>
            <w:noWrap w:val="0"/>
            <w:vAlign w:val="top"/>
          </w:tcPr>
          <w:p w14:paraId="01469FC9">
            <w:pPr>
              <w:widowControl/>
              <w:jc w:val="left"/>
              <w:rPr>
                <w:rFonts w:hint="eastAsia" w:ascii="宋体" w:hAnsi="宋体" w:eastAsia="仿宋_GB2312" w:cs="宋体"/>
                <w:kern w:val="0"/>
                <w:sz w:val="24"/>
                <w:szCs w:val="24"/>
                <w:highlight w:val="none"/>
              </w:rPr>
            </w:pPr>
          </w:p>
        </w:tc>
        <w:tc>
          <w:tcPr>
            <w:tcW w:w="951" w:type="dxa"/>
            <w:tcBorders>
              <w:top w:val="single" w:color="auto" w:sz="4" w:space="0"/>
              <w:left w:val="single" w:color="auto" w:sz="4" w:space="0"/>
              <w:bottom w:val="single" w:color="auto" w:sz="4" w:space="0"/>
              <w:right w:val="single" w:color="auto" w:sz="4" w:space="0"/>
            </w:tcBorders>
            <w:noWrap w:val="0"/>
            <w:vAlign w:val="top"/>
          </w:tcPr>
          <w:p w14:paraId="6FCCF28C">
            <w:pPr>
              <w:widowControl/>
              <w:jc w:val="left"/>
              <w:rPr>
                <w:rFonts w:hint="eastAsia" w:ascii="宋体" w:hAnsi="宋体" w:eastAsia="仿宋_GB2312" w:cs="宋体"/>
                <w:kern w:val="0"/>
                <w:sz w:val="24"/>
                <w:szCs w:val="24"/>
                <w:highlight w:val="none"/>
              </w:rPr>
            </w:pPr>
          </w:p>
        </w:tc>
        <w:tc>
          <w:tcPr>
            <w:tcW w:w="1050" w:type="dxa"/>
            <w:tcBorders>
              <w:top w:val="single" w:color="auto" w:sz="4" w:space="0"/>
              <w:left w:val="single" w:color="auto" w:sz="4" w:space="0"/>
              <w:bottom w:val="single" w:color="auto" w:sz="4" w:space="0"/>
              <w:right w:val="single" w:color="auto" w:sz="4" w:space="0"/>
            </w:tcBorders>
            <w:noWrap w:val="0"/>
            <w:vAlign w:val="top"/>
          </w:tcPr>
          <w:p w14:paraId="3D06BE0A">
            <w:pPr>
              <w:widowControl/>
              <w:jc w:val="left"/>
              <w:rPr>
                <w:rFonts w:hint="eastAsia" w:ascii="仿宋_GB2312" w:hAnsi="宋体" w:eastAsia="仿宋_GB2312" w:cs="宋体"/>
                <w:kern w:val="0"/>
                <w:sz w:val="24"/>
                <w:szCs w:val="24"/>
                <w:highlight w:val="none"/>
              </w:rPr>
            </w:pPr>
            <w:r>
              <w:rPr>
                <w:rFonts w:hint="eastAsia" w:ascii="宋体" w:hAnsi="宋体" w:eastAsia="仿宋_GB2312" w:cs="宋体"/>
                <w:kern w:val="0"/>
                <w:sz w:val="24"/>
                <w:szCs w:val="24"/>
                <w:highlight w:val="none"/>
              </w:rPr>
              <w:t> </w:t>
            </w:r>
          </w:p>
        </w:tc>
        <w:tc>
          <w:tcPr>
            <w:tcW w:w="1338" w:type="dxa"/>
            <w:tcBorders>
              <w:top w:val="single" w:color="auto" w:sz="4" w:space="0"/>
              <w:left w:val="single" w:color="auto" w:sz="4" w:space="0"/>
              <w:bottom w:val="single" w:color="auto" w:sz="4" w:space="0"/>
              <w:right w:val="single" w:color="auto" w:sz="4" w:space="0"/>
            </w:tcBorders>
            <w:noWrap w:val="0"/>
            <w:vAlign w:val="top"/>
          </w:tcPr>
          <w:p w14:paraId="45433DAF">
            <w:pPr>
              <w:widowControl/>
              <w:jc w:val="left"/>
              <w:rPr>
                <w:rFonts w:hint="eastAsia" w:ascii="仿宋_GB2312" w:hAnsi="宋体" w:eastAsia="仿宋_GB2312" w:cs="宋体"/>
                <w:kern w:val="0"/>
                <w:sz w:val="24"/>
                <w:szCs w:val="24"/>
                <w:highlight w:val="none"/>
              </w:rPr>
            </w:pPr>
            <w:r>
              <w:rPr>
                <w:rFonts w:hint="eastAsia" w:ascii="宋体" w:hAnsi="宋体" w:eastAsia="仿宋_GB2312" w:cs="宋体"/>
                <w:kern w:val="0"/>
                <w:sz w:val="24"/>
                <w:szCs w:val="24"/>
                <w:highlight w:val="none"/>
              </w:rPr>
              <w:t> </w:t>
            </w:r>
          </w:p>
        </w:tc>
        <w:tc>
          <w:tcPr>
            <w:tcW w:w="512" w:type="dxa"/>
            <w:tcBorders>
              <w:top w:val="single" w:color="auto" w:sz="4" w:space="0"/>
              <w:left w:val="single" w:color="auto" w:sz="4" w:space="0"/>
              <w:bottom w:val="single" w:color="auto" w:sz="4" w:space="0"/>
              <w:right w:val="single" w:color="auto" w:sz="4" w:space="0"/>
            </w:tcBorders>
            <w:noWrap w:val="0"/>
            <w:vAlign w:val="top"/>
          </w:tcPr>
          <w:p w14:paraId="5B6685F1">
            <w:pPr>
              <w:widowControl/>
              <w:jc w:val="left"/>
              <w:rPr>
                <w:rFonts w:hint="eastAsia" w:ascii="宋体" w:hAnsi="宋体" w:eastAsia="仿宋_GB2312" w:cs="宋体"/>
                <w:kern w:val="0"/>
                <w:sz w:val="24"/>
                <w:szCs w:val="24"/>
                <w:highlight w:val="none"/>
              </w:rPr>
            </w:pPr>
          </w:p>
        </w:tc>
        <w:tc>
          <w:tcPr>
            <w:tcW w:w="1124" w:type="dxa"/>
            <w:tcBorders>
              <w:top w:val="single" w:color="auto" w:sz="4" w:space="0"/>
              <w:left w:val="single" w:color="auto" w:sz="4" w:space="0"/>
              <w:bottom w:val="single" w:color="auto" w:sz="4" w:space="0"/>
              <w:right w:val="single" w:color="auto" w:sz="4" w:space="0"/>
            </w:tcBorders>
            <w:noWrap w:val="0"/>
            <w:vAlign w:val="top"/>
          </w:tcPr>
          <w:p w14:paraId="01FAC6FB">
            <w:pPr>
              <w:widowControl/>
              <w:jc w:val="left"/>
              <w:rPr>
                <w:rFonts w:hint="eastAsia" w:ascii="仿宋_GB2312" w:hAnsi="宋体" w:eastAsia="仿宋_GB2312" w:cs="宋体"/>
                <w:kern w:val="0"/>
                <w:sz w:val="24"/>
                <w:szCs w:val="24"/>
                <w:highlight w:val="none"/>
              </w:rPr>
            </w:pPr>
            <w:r>
              <w:rPr>
                <w:rFonts w:hint="eastAsia" w:ascii="宋体" w:hAnsi="宋体" w:eastAsia="仿宋_GB2312" w:cs="宋体"/>
                <w:kern w:val="0"/>
                <w:sz w:val="24"/>
                <w:szCs w:val="24"/>
                <w:highlight w:val="none"/>
              </w:rPr>
              <w:t> </w:t>
            </w:r>
          </w:p>
        </w:tc>
      </w:tr>
    </w:tbl>
    <w:p w14:paraId="3C9BBEFF">
      <w:pPr>
        <w:widowControl/>
        <w:spacing w:line="560" w:lineRule="exact"/>
        <w:jc w:val="both"/>
        <w:rPr>
          <w:rFonts w:hint="default" w:ascii="仿宋_GB2312" w:hAnsi="宋体" w:eastAsia="仿宋_GB2312" w:cs="宋体"/>
          <w:kern w:val="0"/>
          <w:sz w:val="22"/>
          <w:szCs w:val="22"/>
          <w:highlight w:val="none"/>
          <w:lang w:val="en-US" w:eastAsia="zh-CN"/>
        </w:rPr>
      </w:pPr>
      <w:r>
        <w:rPr>
          <w:rFonts w:hint="eastAsia" w:ascii="仿宋_GB2312" w:hAnsi="宋体" w:eastAsia="仿宋_GB2312" w:cs="宋体"/>
          <w:kern w:val="0"/>
          <w:sz w:val="22"/>
          <w:szCs w:val="22"/>
          <w:highlight w:val="none"/>
          <w:lang w:val="en-US" w:eastAsia="zh-CN"/>
        </w:rPr>
        <w:t>备注：报价以最小包装单位为计价单位。</w:t>
      </w:r>
    </w:p>
    <w:p w14:paraId="0D87EAC5">
      <w:pPr>
        <w:widowControl/>
        <w:spacing w:line="560" w:lineRule="exact"/>
        <w:jc w:val="left"/>
        <w:rPr>
          <w:rFonts w:hint="eastAsia" w:ascii="仿宋" w:hAnsi="仿宋" w:eastAsia="仿宋" w:cs="仿宋"/>
          <w:kern w:val="0"/>
          <w:sz w:val="32"/>
          <w:szCs w:val="32"/>
          <w:highlight w:val="none"/>
        </w:rPr>
      </w:pPr>
    </w:p>
    <w:p w14:paraId="795EF6B2">
      <w:pPr>
        <w:widowControl/>
        <w:spacing w:line="560" w:lineRule="exact"/>
        <w:jc w:val="left"/>
        <w:rPr>
          <w:rFonts w:hint="eastAsia" w:ascii="仿宋" w:hAnsi="仿宋" w:eastAsia="仿宋" w:cs="仿宋"/>
          <w:kern w:val="0"/>
          <w:sz w:val="32"/>
          <w:szCs w:val="32"/>
          <w:highlight w:val="none"/>
        </w:rPr>
      </w:pPr>
    </w:p>
    <w:p w14:paraId="329E1665">
      <w:pPr>
        <w:widowControl/>
        <w:spacing w:line="560" w:lineRule="exact"/>
        <w:jc w:val="left"/>
        <w:rPr>
          <w:rFonts w:hint="eastAsia" w:ascii="仿宋" w:hAnsi="仿宋" w:eastAsia="仿宋" w:cs="仿宋"/>
          <w:kern w:val="0"/>
          <w:sz w:val="32"/>
          <w:szCs w:val="32"/>
          <w:highlight w:val="none"/>
        </w:rPr>
      </w:pPr>
    </w:p>
    <w:p w14:paraId="02BF028D">
      <w:pPr>
        <w:pStyle w:val="2"/>
        <w:rPr>
          <w:rFonts w:hint="eastAsia"/>
        </w:rPr>
      </w:pPr>
    </w:p>
    <w:p w14:paraId="51A49C8A">
      <w:pPr>
        <w:widowControl/>
        <w:spacing w:line="560" w:lineRule="exact"/>
        <w:jc w:val="left"/>
        <w:rPr>
          <w:rFonts w:hint="eastAsia" w:ascii="仿宋" w:hAnsi="仿宋" w:eastAsia="仿宋" w:cs="仿宋"/>
          <w:kern w:val="0"/>
          <w:sz w:val="32"/>
          <w:szCs w:val="32"/>
          <w:highlight w:val="none"/>
        </w:rPr>
      </w:pPr>
    </w:p>
    <w:p w14:paraId="50F6CEEF">
      <w:pPr>
        <w:widowControl/>
        <w:spacing w:line="560" w:lineRule="exact"/>
        <w:jc w:val="left"/>
        <w:rPr>
          <w:rFonts w:hint="eastAsia" w:ascii="仿宋" w:hAnsi="仿宋" w:eastAsia="仿宋" w:cs="仿宋"/>
          <w:kern w:val="0"/>
          <w:sz w:val="32"/>
          <w:szCs w:val="32"/>
          <w:highlight w:val="none"/>
        </w:rPr>
      </w:pPr>
    </w:p>
    <w:p w14:paraId="16210374">
      <w:pPr>
        <w:widowControl/>
        <w:spacing w:line="560" w:lineRule="exact"/>
        <w:jc w:val="left"/>
        <w:rPr>
          <w:rFonts w:hint="eastAsia" w:ascii="仿宋" w:hAnsi="仿宋" w:eastAsia="仿宋" w:cs="仿宋"/>
          <w:kern w:val="0"/>
          <w:sz w:val="32"/>
          <w:szCs w:val="32"/>
          <w:highlight w:val="none"/>
        </w:rPr>
      </w:pPr>
    </w:p>
    <w:p w14:paraId="589B8A1F">
      <w:pPr>
        <w:widowControl/>
        <w:spacing w:line="560" w:lineRule="exact"/>
        <w:jc w:val="left"/>
        <w:rPr>
          <w:rFonts w:hint="eastAsia" w:ascii="仿宋" w:hAnsi="仿宋" w:eastAsia="仿宋" w:cs="仿宋"/>
          <w:kern w:val="0"/>
          <w:sz w:val="32"/>
          <w:szCs w:val="32"/>
          <w:highlight w:val="none"/>
        </w:rPr>
      </w:pPr>
    </w:p>
    <w:p w14:paraId="526BCE30">
      <w:pPr>
        <w:widowControl/>
        <w:spacing w:line="560" w:lineRule="exact"/>
        <w:jc w:val="left"/>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附件</w:t>
      </w:r>
      <w:r>
        <w:rPr>
          <w:rFonts w:hint="eastAsia" w:ascii="仿宋" w:hAnsi="仿宋" w:eastAsia="仿宋" w:cs="仿宋"/>
          <w:kern w:val="0"/>
          <w:sz w:val="32"/>
          <w:szCs w:val="32"/>
          <w:highlight w:val="none"/>
          <w:lang w:val="en-US" w:eastAsia="zh-CN"/>
        </w:rPr>
        <w:t>2</w:t>
      </w:r>
      <w:r>
        <w:rPr>
          <w:rFonts w:hint="eastAsia" w:ascii="仿宋" w:hAnsi="仿宋" w:eastAsia="仿宋" w:cs="仿宋"/>
          <w:kern w:val="0"/>
          <w:sz w:val="32"/>
          <w:szCs w:val="32"/>
          <w:highlight w:val="none"/>
        </w:rPr>
        <w:t>：</w:t>
      </w:r>
    </w:p>
    <w:p w14:paraId="47DBC260">
      <w:pPr>
        <w:widowControl/>
        <w:spacing w:line="560" w:lineRule="exact"/>
        <w:jc w:val="both"/>
        <w:rPr>
          <w:rFonts w:hint="eastAsia" w:ascii="仿宋" w:hAnsi="仿宋" w:eastAsia="仿宋" w:cs="仿宋"/>
          <w:kern w:val="0"/>
          <w:sz w:val="32"/>
          <w:szCs w:val="32"/>
          <w:highlight w:val="none"/>
          <w:lang w:val="en-US" w:eastAsia="zh-CN"/>
        </w:rPr>
      </w:pPr>
    </w:p>
    <w:p w14:paraId="499E23B6">
      <w:pPr>
        <w:widowControl/>
        <w:spacing w:line="560" w:lineRule="exact"/>
        <w:jc w:val="center"/>
        <w:rPr>
          <w:rFonts w:hint="eastAsia" w:ascii="华文中宋" w:hAnsi="华文中宋" w:eastAsia="华文中宋" w:cs="华文中宋"/>
          <w:kern w:val="0"/>
          <w:sz w:val="32"/>
          <w:szCs w:val="32"/>
          <w:highlight w:val="none"/>
          <w:lang w:val="en-US" w:eastAsia="zh-CN"/>
        </w:rPr>
      </w:pPr>
      <w:r>
        <w:rPr>
          <w:rFonts w:hint="eastAsia" w:ascii="华文中宋" w:hAnsi="华文中宋" w:eastAsia="华文中宋" w:cs="华文中宋"/>
          <w:kern w:val="0"/>
          <w:sz w:val="32"/>
          <w:szCs w:val="32"/>
          <w:highlight w:val="none"/>
          <w:lang w:val="en-US" w:eastAsia="zh-CN"/>
        </w:rPr>
        <w:t>配套</w:t>
      </w:r>
      <w:r>
        <w:rPr>
          <w:rFonts w:hint="eastAsia" w:ascii="华文中宋" w:hAnsi="华文中宋" w:eastAsia="华文中宋" w:cs="华文中宋"/>
          <w:b w:val="0"/>
          <w:bCs w:val="0"/>
          <w:kern w:val="0"/>
          <w:sz w:val="32"/>
          <w:szCs w:val="32"/>
          <w:highlight w:val="none"/>
          <w:lang w:val="en-US" w:eastAsia="zh-CN"/>
        </w:rPr>
        <w:t>设</w:t>
      </w:r>
      <w:r>
        <w:rPr>
          <w:rFonts w:hint="eastAsia" w:ascii="华文中宋" w:hAnsi="华文中宋" w:eastAsia="华文中宋" w:cs="华文中宋"/>
          <w:kern w:val="0"/>
          <w:sz w:val="32"/>
          <w:szCs w:val="32"/>
          <w:highlight w:val="none"/>
          <w:lang w:val="en-US" w:eastAsia="zh-CN"/>
        </w:rPr>
        <w:t>备信息表</w:t>
      </w:r>
    </w:p>
    <w:p w14:paraId="54AD0DAF">
      <w:pPr>
        <w:widowControl/>
        <w:spacing w:line="560" w:lineRule="exact"/>
        <w:jc w:val="center"/>
        <w:rPr>
          <w:rFonts w:hint="eastAsia" w:ascii="仿宋_GB2312" w:hAnsi="宋体" w:eastAsia="仿宋_GB2312" w:cs="宋体"/>
          <w:kern w:val="0"/>
          <w:sz w:val="32"/>
          <w:szCs w:val="32"/>
          <w:highlight w:val="none"/>
          <w:lang w:val="en-US" w:eastAsia="zh-CN"/>
        </w:rPr>
      </w:pPr>
    </w:p>
    <w:tbl>
      <w:tblPr>
        <w:tblStyle w:val="7"/>
        <w:tblW w:w="497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
        <w:gridCol w:w="2234"/>
        <w:gridCol w:w="1192"/>
        <w:gridCol w:w="1853"/>
        <w:gridCol w:w="2938"/>
        <w:gridCol w:w="816"/>
        <w:gridCol w:w="1508"/>
        <w:gridCol w:w="1489"/>
        <w:gridCol w:w="1198"/>
      </w:tblGrid>
      <w:tr w14:paraId="0DED7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313" w:type="pct"/>
            <w:tcBorders>
              <w:top w:val="single" w:color="auto" w:sz="4" w:space="0"/>
              <w:left w:val="single" w:color="auto" w:sz="4" w:space="0"/>
              <w:bottom w:val="single" w:color="auto" w:sz="4" w:space="0"/>
              <w:right w:val="single" w:color="auto" w:sz="4" w:space="0"/>
            </w:tcBorders>
            <w:noWrap w:val="0"/>
            <w:vAlign w:val="center"/>
          </w:tcPr>
          <w:p w14:paraId="4F6C2B6A">
            <w:pPr>
              <w:widowControl/>
              <w:spacing w:line="360" w:lineRule="atLeast"/>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序号</w:t>
            </w:r>
          </w:p>
        </w:tc>
        <w:tc>
          <w:tcPr>
            <w:tcW w:w="791" w:type="pct"/>
            <w:tcBorders>
              <w:top w:val="single" w:color="auto" w:sz="4" w:space="0"/>
              <w:left w:val="single" w:color="auto" w:sz="4" w:space="0"/>
              <w:bottom w:val="single" w:color="auto" w:sz="4" w:space="0"/>
              <w:right w:val="single" w:color="auto" w:sz="4" w:space="0"/>
            </w:tcBorders>
            <w:noWrap w:val="0"/>
            <w:vAlign w:val="center"/>
          </w:tcPr>
          <w:p w14:paraId="65D7C6E7">
            <w:pPr>
              <w:widowControl/>
              <w:spacing w:line="360" w:lineRule="atLeast"/>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lang w:val="en-US" w:eastAsia="zh-CN"/>
              </w:rPr>
              <w:t>注册证</w:t>
            </w:r>
            <w:r>
              <w:rPr>
                <w:rFonts w:hint="eastAsia" w:ascii="仿宋" w:hAnsi="仿宋" w:eastAsia="仿宋" w:cs="仿宋"/>
                <w:kern w:val="0"/>
                <w:sz w:val="24"/>
                <w:szCs w:val="24"/>
                <w:highlight w:val="none"/>
              </w:rPr>
              <w:t>名称</w:t>
            </w:r>
          </w:p>
        </w:tc>
        <w:tc>
          <w:tcPr>
            <w:tcW w:w="422" w:type="pct"/>
            <w:tcBorders>
              <w:top w:val="single" w:color="auto" w:sz="4" w:space="0"/>
              <w:left w:val="single" w:color="auto" w:sz="4" w:space="0"/>
              <w:bottom w:val="single" w:color="auto" w:sz="4" w:space="0"/>
              <w:right w:val="single" w:color="auto" w:sz="4" w:space="0"/>
            </w:tcBorders>
            <w:noWrap w:val="0"/>
            <w:vAlign w:val="center"/>
          </w:tcPr>
          <w:p w14:paraId="77165E3C">
            <w:pPr>
              <w:widowControl/>
              <w:spacing w:line="360" w:lineRule="atLeast"/>
              <w:jc w:val="center"/>
              <w:rPr>
                <w:rFonts w:hint="default"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规格型号</w:t>
            </w:r>
          </w:p>
        </w:tc>
        <w:tc>
          <w:tcPr>
            <w:tcW w:w="656" w:type="pct"/>
            <w:tcBorders>
              <w:top w:val="single" w:color="auto" w:sz="4" w:space="0"/>
              <w:left w:val="single" w:color="auto" w:sz="4" w:space="0"/>
              <w:bottom w:val="single" w:color="auto" w:sz="4" w:space="0"/>
              <w:right w:val="single" w:color="auto" w:sz="4" w:space="0"/>
            </w:tcBorders>
            <w:noWrap w:val="0"/>
            <w:vAlign w:val="center"/>
          </w:tcPr>
          <w:p w14:paraId="69C1C9EA">
            <w:pPr>
              <w:widowControl/>
              <w:spacing w:line="360" w:lineRule="atLeast"/>
              <w:jc w:val="center"/>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rPr>
              <w:t>注册证号</w:t>
            </w:r>
          </w:p>
        </w:tc>
        <w:tc>
          <w:tcPr>
            <w:tcW w:w="1040" w:type="pct"/>
            <w:tcBorders>
              <w:top w:val="single" w:color="auto" w:sz="4" w:space="0"/>
              <w:left w:val="single" w:color="auto" w:sz="4" w:space="0"/>
              <w:bottom w:val="single" w:color="auto" w:sz="4" w:space="0"/>
              <w:right w:val="single" w:color="auto" w:sz="4" w:space="0"/>
            </w:tcBorders>
            <w:noWrap w:val="0"/>
            <w:vAlign w:val="center"/>
          </w:tcPr>
          <w:p w14:paraId="5269E2A0">
            <w:pPr>
              <w:widowControl/>
              <w:spacing w:line="360" w:lineRule="atLeast"/>
              <w:jc w:val="center"/>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rPr>
              <w:t>生产</w:t>
            </w:r>
            <w:r>
              <w:rPr>
                <w:rFonts w:hint="eastAsia" w:ascii="仿宋" w:hAnsi="仿宋" w:eastAsia="仿宋" w:cs="仿宋"/>
                <w:kern w:val="0"/>
                <w:sz w:val="24"/>
                <w:szCs w:val="24"/>
                <w:highlight w:val="none"/>
                <w:lang w:val="en-US" w:eastAsia="zh-CN"/>
              </w:rPr>
              <w:t>企业</w:t>
            </w:r>
          </w:p>
        </w:tc>
        <w:tc>
          <w:tcPr>
            <w:tcW w:w="28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42C2DA6">
            <w:pPr>
              <w:widowControl/>
              <w:spacing w:line="360" w:lineRule="atLeast"/>
              <w:jc w:val="center"/>
              <w:rPr>
                <w:rFonts w:hint="eastAsia" w:ascii="仿宋" w:hAnsi="仿宋" w:eastAsia="仿宋" w:cs="仿宋"/>
                <w:kern w:val="0"/>
                <w:sz w:val="24"/>
                <w:szCs w:val="24"/>
                <w:highlight w:val="none"/>
                <w:lang w:val="en-US" w:eastAsia="zh-CN" w:bidi="ar-SA"/>
              </w:rPr>
            </w:pPr>
            <w:r>
              <w:rPr>
                <w:rFonts w:hint="eastAsia" w:ascii="仿宋" w:hAnsi="仿宋" w:eastAsia="仿宋" w:cs="仿宋"/>
                <w:kern w:val="0"/>
                <w:sz w:val="24"/>
                <w:szCs w:val="24"/>
                <w:highlight w:val="none"/>
                <w:lang w:val="en-US" w:eastAsia="zh-CN"/>
              </w:rPr>
              <w:t>单位</w:t>
            </w:r>
          </w:p>
        </w:tc>
        <w:tc>
          <w:tcPr>
            <w:tcW w:w="53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50A3A10">
            <w:pPr>
              <w:widowControl/>
              <w:spacing w:line="360" w:lineRule="atLeast"/>
              <w:jc w:val="center"/>
              <w:rPr>
                <w:rFonts w:hint="default" w:ascii="仿宋" w:hAnsi="仿宋" w:eastAsia="仿宋" w:cs="仿宋"/>
                <w:kern w:val="0"/>
                <w:sz w:val="24"/>
                <w:szCs w:val="24"/>
                <w:highlight w:val="none"/>
                <w:lang w:val="en-US" w:eastAsia="zh-CN" w:bidi="ar-SA"/>
              </w:rPr>
            </w:pPr>
            <w:r>
              <w:rPr>
                <w:rFonts w:hint="eastAsia" w:ascii="仿宋" w:hAnsi="仿宋" w:eastAsia="仿宋" w:cs="仿宋"/>
                <w:kern w:val="0"/>
                <w:sz w:val="24"/>
                <w:szCs w:val="24"/>
                <w:highlight w:val="none"/>
                <w:lang w:val="en-US" w:eastAsia="zh-CN"/>
              </w:rPr>
              <w:t>数量</w:t>
            </w:r>
          </w:p>
        </w:tc>
        <w:tc>
          <w:tcPr>
            <w:tcW w:w="527" w:type="pct"/>
            <w:tcBorders>
              <w:top w:val="single" w:color="auto" w:sz="4" w:space="0"/>
              <w:left w:val="single" w:color="auto" w:sz="4" w:space="0"/>
              <w:bottom w:val="single" w:color="auto" w:sz="4" w:space="0"/>
              <w:right w:val="single" w:color="auto" w:sz="4" w:space="0"/>
            </w:tcBorders>
            <w:noWrap w:val="0"/>
            <w:vAlign w:val="center"/>
          </w:tcPr>
          <w:p w14:paraId="34B91B7F">
            <w:pPr>
              <w:widowControl/>
              <w:spacing w:line="360" w:lineRule="atLeast"/>
              <w:jc w:val="center"/>
              <w:rPr>
                <w:rFonts w:hint="default"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租赁价格（元/年）</w:t>
            </w:r>
          </w:p>
        </w:tc>
        <w:tc>
          <w:tcPr>
            <w:tcW w:w="424" w:type="pct"/>
            <w:tcBorders>
              <w:top w:val="single" w:color="auto" w:sz="4" w:space="0"/>
              <w:left w:val="single" w:color="auto" w:sz="4" w:space="0"/>
              <w:bottom w:val="single" w:color="auto" w:sz="4" w:space="0"/>
              <w:right w:val="single" w:color="auto" w:sz="4" w:space="0"/>
            </w:tcBorders>
            <w:noWrap w:val="0"/>
            <w:vAlign w:val="center"/>
          </w:tcPr>
          <w:p w14:paraId="6B2182C3">
            <w:pPr>
              <w:widowControl/>
              <w:spacing w:line="360" w:lineRule="atLeast"/>
              <w:ind w:left="240" w:hanging="240" w:hangingChars="100"/>
              <w:jc w:val="center"/>
              <w:rPr>
                <w:rFonts w:hint="default"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备注</w:t>
            </w:r>
          </w:p>
        </w:tc>
      </w:tr>
      <w:tr w14:paraId="7D19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313" w:type="pct"/>
            <w:tcBorders>
              <w:top w:val="single" w:color="auto" w:sz="4" w:space="0"/>
              <w:left w:val="single" w:color="auto" w:sz="4" w:space="0"/>
              <w:bottom w:val="single" w:color="auto" w:sz="4" w:space="0"/>
              <w:right w:val="single" w:color="auto" w:sz="4" w:space="0"/>
            </w:tcBorders>
            <w:noWrap w:val="0"/>
            <w:vAlign w:val="top"/>
          </w:tcPr>
          <w:p w14:paraId="4B5269F2">
            <w:pPr>
              <w:widowControl/>
              <w:jc w:val="left"/>
              <w:rPr>
                <w:rFonts w:hint="eastAsia" w:ascii="仿宋_GB2312" w:hAnsi="宋体" w:eastAsia="仿宋_GB2312" w:cs="宋体"/>
                <w:kern w:val="0"/>
                <w:sz w:val="24"/>
                <w:szCs w:val="24"/>
                <w:highlight w:val="none"/>
              </w:rPr>
            </w:pPr>
          </w:p>
        </w:tc>
        <w:tc>
          <w:tcPr>
            <w:tcW w:w="791" w:type="pct"/>
            <w:tcBorders>
              <w:top w:val="single" w:color="auto" w:sz="4" w:space="0"/>
              <w:left w:val="single" w:color="auto" w:sz="4" w:space="0"/>
              <w:bottom w:val="single" w:color="auto" w:sz="4" w:space="0"/>
              <w:right w:val="single" w:color="auto" w:sz="4" w:space="0"/>
            </w:tcBorders>
            <w:noWrap w:val="0"/>
            <w:vAlign w:val="top"/>
          </w:tcPr>
          <w:p w14:paraId="77B0061E">
            <w:pPr>
              <w:widowControl/>
              <w:jc w:val="left"/>
              <w:rPr>
                <w:rFonts w:hint="eastAsia" w:ascii="仿宋_GB2312" w:hAnsi="宋体" w:eastAsia="仿宋_GB2312" w:cs="宋体"/>
                <w:kern w:val="0"/>
                <w:sz w:val="24"/>
                <w:szCs w:val="24"/>
                <w:highlight w:val="none"/>
              </w:rPr>
            </w:pPr>
          </w:p>
        </w:tc>
        <w:tc>
          <w:tcPr>
            <w:tcW w:w="422" w:type="pct"/>
            <w:tcBorders>
              <w:top w:val="single" w:color="auto" w:sz="4" w:space="0"/>
              <w:left w:val="single" w:color="auto" w:sz="4" w:space="0"/>
              <w:bottom w:val="single" w:color="auto" w:sz="4" w:space="0"/>
              <w:right w:val="single" w:color="auto" w:sz="4" w:space="0"/>
            </w:tcBorders>
            <w:noWrap w:val="0"/>
            <w:vAlign w:val="top"/>
          </w:tcPr>
          <w:p w14:paraId="5DF343D1">
            <w:pPr>
              <w:widowControl/>
              <w:jc w:val="left"/>
              <w:rPr>
                <w:rFonts w:hint="eastAsia" w:ascii="宋体" w:hAnsi="宋体" w:eastAsia="仿宋_GB2312" w:cs="宋体"/>
                <w:kern w:val="0"/>
                <w:sz w:val="24"/>
                <w:szCs w:val="24"/>
                <w:highlight w:val="none"/>
              </w:rPr>
            </w:pPr>
          </w:p>
        </w:tc>
        <w:tc>
          <w:tcPr>
            <w:tcW w:w="656" w:type="pct"/>
            <w:tcBorders>
              <w:top w:val="single" w:color="auto" w:sz="4" w:space="0"/>
              <w:left w:val="single" w:color="auto" w:sz="4" w:space="0"/>
              <w:bottom w:val="single" w:color="auto" w:sz="4" w:space="0"/>
              <w:right w:val="single" w:color="auto" w:sz="4" w:space="0"/>
            </w:tcBorders>
            <w:noWrap w:val="0"/>
            <w:vAlign w:val="top"/>
          </w:tcPr>
          <w:p w14:paraId="35C35DD5">
            <w:pPr>
              <w:widowControl/>
              <w:jc w:val="left"/>
              <w:rPr>
                <w:rFonts w:hint="eastAsia" w:ascii="宋体" w:hAnsi="宋体" w:eastAsia="仿宋_GB2312" w:cs="宋体"/>
                <w:kern w:val="0"/>
                <w:sz w:val="24"/>
                <w:szCs w:val="24"/>
                <w:highlight w:val="none"/>
              </w:rPr>
            </w:pPr>
          </w:p>
        </w:tc>
        <w:tc>
          <w:tcPr>
            <w:tcW w:w="1040" w:type="pct"/>
            <w:tcBorders>
              <w:top w:val="single" w:color="auto" w:sz="4" w:space="0"/>
              <w:left w:val="single" w:color="auto" w:sz="4" w:space="0"/>
              <w:bottom w:val="single" w:color="auto" w:sz="4" w:space="0"/>
              <w:right w:val="single" w:color="auto" w:sz="4" w:space="0"/>
            </w:tcBorders>
            <w:noWrap w:val="0"/>
            <w:vAlign w:val="top"/>
          </w:tcPr>
          <w:p w14:paraId="28748523">
            <w:pPr>
              <w:widowControl/>
              <w:jc w:val="left"/>
              <w:rPr>
                <w:rFonts w:hint="eastAsia" w:ascii="宋体" w:hAnsi="宋体" w:eastAsia="仿宋_GB2312" w:cs="宋体"/>
                <w:kern w:val="0"/>
                <w:sz w:val="24"/>
                <w:szCs w:val="24"/>
                <w:highlight w:val="none"/>
              </w:rPr>
            </w:pPr>
          </w:p>
        </w:tc>
        <w:tc>
          <w:tcPr>
            <w:tcW w:w="289" w:type="pct"/>
            <w:tcBorders>
              <w:top w:val="single" w:color="auto" w:sz="4" w:space="0"/>
              <w:left w:val="single" w:color="auto" w:sz="4" w:space="0"/>
              <w:bottom w:val="single" w:color="auto" w:sz="4" w:space="0"/>
              <w:right w:val="single" w:color="auto" w:sz="4" w:space="0"/>
            </w:tcBorders>
            <w:noWrap w:val="0"/>
            <w:vAlign w:val="top"/>
          </w:tcPr>
          <w:p w14:paraId="4722E508">
            <w:pPr>
              <w:widowControl/>
              <w:jc w:val="left"/>
              <w:rPr>
                <w:rFonts w:hint="eastAsia" w:ascii="宋体" w:hAnsi="宋体" w:eastAsia="仿宋_GB2312" w:cs="宋体"/>
                <w:kern w:val="0"/>
                <w:sz w:val="24"/>
                <w:szCs w:val="24"/>
                <w:highlight w:val="none"/>
              </w:rPr>
            </w:pPr>
          </w:p>
        </w:tc>
        <w:tc>
          <w:tcPr>
            <w:tcW w:w="534" w:type="pct"/>
            <w:tcBorders>
              <w:top w:val="single" w:color="auto" w:sz="4" w:space="0"/>
              <w:left w:val="single" w:color="auto" w:sz="4" w:space="0"/>
              <w:bottom w:val="single" w:color="auto" w:sz="4" w:space="0"/>
              <w:right w:val="single" w:color="auto" w:sz="4" w:space="0"/>
            </w:tcBorders>
            <w:noWrap w:val="0"/>
            <w:vAlign w:val="top"/>
          </w:tcPr>
          <w:p w14:paraId="7F845BB2">
            <w:pPr>
              <w:widowControl/>
              <w:jc w:val="left"/>
              <w:rPr>
                <w:rFonts w:hint="eastAsia" w:ascii="宋体" w:hAnsi="宋体" w:eastAsia="仿宋_GB2312" w:cs="宋体"/>
                <w:kern w:val="0"/>
                <w:sz w:val="24"/>
                <w:szCs w:val="24"/>
                <w:highlight w:val="none"/>
              </w:rPr>
            </w:pPr>
          </w:p>
        </w:tc>
        <w:tc>
          <w:tcPr>
            <w:tcW w:w="527" w:type="pct"/>
            <w:tcBorders>
              <w:top w:val="single" w:color="auto" w:sz="4" w:space="0"/>
              <w:left w:val="single" w:color="auto" w:sz="4" w:space="0"/>
              <w:bottom w:val="single" w:color="auto" w:sz="4" w:space="0"/>
              <w:right w:val="single" w:color="auto" w:sz="4" w:space="0"/>
            </w:tcBorders>
            <w:noWrap w:val="0"/>
            <w:vAlign w:val="top"/>
          </w:tcPr>
          <w:p w14:paraId="2DA9D326">
            <w:pPr>
              <w:widowControl/>
              <w:jc w:val="left"/>
              <w:rPr>
                <w:rFonts w:hint="eastAsia" w:ascii="仿宋_GB2312" w:hAnsi="宋体" w:eastAsia="仿宋_GB2312" w:cs="宋体"/>
                <w:kern w:val="0"/>
                <w:sz w:val="24"/>
                <w:szCs w:val="24"/>
                <w:highlight w:val="none"/>
              </w:rPr>
            </w:pPr>
            <w:r>
              <w:rPr>
                <w:rFonts w:hint="eastAsia" w:ascii="宋体" w:hAnsi="宋体" w:eastAsia="仿宋_GB2312" w:cs="宋体"/>
                <w:kern w:val="0"/>
                <w:sz w:val="24"/>
                <w:szCs w:val="24"/>
                <w:highlight w:val="none"/>
              </w:rPr>
              <w:t> </w:t>
            </w:r>
          </w:p>
        </w:tc>
        <w:tc>
          <w:tcPr>
            <w:tcW w:w="424" w:type="pct"/>
            <w:tcBorders>
              <w:top w:val="single" w:color="auto" w:sz="4" w:space="0"/>
              <w:left w:val="single" w:color="auto" w:sz="4" w:space="0"/>
              <w:bottom w:val="single" w:color="auto" w:sz="4" w:space="0"/>
              <w:right w:val="single" w:color="auto" w:sz="4" w:space="0"/>
            </w:tcBorders>
            <w:noWrap w:val="0"/>
            <w:vAlign w:val="top"/>
          </w:tcPr>
          <w:p w14:paraId="27FEBDD5">
            <w:pPr>
              <w:widowControl/>
              <w:jc w:val="left"/>
              <w:rPr>
                <w:rFonts w:hint="eastAsia" w:ascii="仿宋_GB2312" w:hAnsi="宋体" w:eastAsia="仿宋_GB2312" w:cs="宋体"/>
                <w:kern w:val="0"/>
                <w:sz w:val="24"/>
                <w:szCs w:val="24"/>
                <w:highlight w:val="none"/>
              </w:rPr>
            </w:pPr>
            <w:r>
              <w:rPr>
                <w:rFonts w:hint="eastAsia" w:ascii="宋体" w:hAnsi="宋体" w:eastAsia="仿宋_GB2312" w:cs="宋体"/>
                <w:kern w:val="0"/>
                <w:sz w:val="24"/>
                <w:szCs w:val="24"/>
                <w:highlight w:val="none"/>
              </w:rPr>
              <w:t> </w:t>
            </w:r>
          </w:p>
        </w:tc>
      </w:tr>
    </w:tbl>
    <w:p w14:paraId="406FEE1F">
      <w:pPr>
        <w:widowControl/>
        <w:spacing w:line="560" w:lineRule="exact"/>
        <w:jc w:val="both"/>
        <w:rPr>
          <w:rFonts w:hint="eastAsia" w:ascii="仿宋" w:hAnsi="仿宋" w:eastAsia="仿宋" w:cs="仿宋"/>
          <w:sz w:val="24"/>
          <w:szCs w:val="22"/>
          <w:highlight w:val="none"/>
          <w:lang w:val="en-US" w:eastAsia="zh-CN"/>
        </w:rPr>
        <w:sectPr>
          <w:headerReference r:id="rId3" w:type="default"/>
          <w:footerReference r:id="rId4" w:type="default"/>
          <w:pgSz w:w="16838" w:h="11906" w:orient="landscape"/>
          <w:pgMar w:top="1797" w:right="1440" w:bottom="1514" w:left="1440" w:header="851" w:footer="992" w:gutter="0"/>
          <w:cols w:space="720" w:num="1"/>
          <w:docGrid w:type="lines" w:linePitch="318" w:charSpace="0"/>
        </w:sectPr>
      </w:pPr>
      <w:r>
        <w:rPr>
          <w:rFonts w:hint="eastAsia" w:ascii="仿宋" w:hAnsi="仿宋" w:eastAsia="仿宋" w:cs="仿宋"/>
          <w:sz w:val="24"/>
          <w:szCs w:val="22"/>
          <w:highlight w:val="none"/>
          <w:lang w:val="en-US" w:eastAsia="zh-CN"/>
        </w:rPr>
        <w:t>备注：租赁价格含运输、安装、定检/校准和维修、更换配件等设备相关费用。</w:t>
      </w:r>
    </w:p>
    <w:p w14:paraId="511E742F">
      <w:pPr>
        <w:spacing w:before="0" w:after="0" w:line="329" w:lineRule="exact"/>
        <w:ind w:left="0" w:right="0" w:firstLine="0"/>
        <w:jc w:val="left"/>
        <w:rPr>
          <w:rFonts w:hint="eastAsia" w:ascii="仿宋" w:hAnsi="仿宋" w:eastAsia="仿宋" w:cs="仿宋"/>
          <w:color w:val="000000"/>
          <w:sz w:val="32"/>
          <w:szCs w:val="32"/>
          <w:highlight w:val="none"/>
          <w:lang w:val="en-US" w:eastAsia="en-US" w:bidi="ar-SA"/>
        </w:rPr>
      </w:pPr>
      <w:r>
        <w:rPr>
          <w:rFonts w:hint="eastAsia" w:ascii="仿宋" w:hAnsi="仿宋" w:eastAsia="仿宋" w:cs="仿宋"/>
          <w:color w:val="000000"/>
          <w:spacing w:val="-1"/>
          <w:sz w:val="32"/>
          <w:szCs w:val="32"/>
          <w:highlight w:val="none"/>
          <w:lang w:val="en-US" w:eastAsia="en-US" w:bidi="ar-SA"/>
        </w:rPr>
        <w:t>附件</w:t>
      </w:r>
      <w:r>
        <w:rPr>
          <w:rFonts w:hint="eastAsia" w:ascii="仿宋" w:hAnsi="仿宋" w:eastAsia="仿宋" w:cs="仿宋"/>
          <w:color w:val="000000"/>
          <w:spacing w:val="1"/>
          <w:sz w:val="32"/>
          <w:szCs w:val="32"/>
          <w:highlight w:val="none"/>
          <w:lang w:val="en-US" w:eastAsia="zh-CN" w:bidi="ar-SA"/>
        </w:rPr>
        <w:t>3</w:t>
      </w:r>
    </w:p>
    <w:p w14:paraId="5591B535">
      <w:pPr>
        <w:keepNext w:val="0"/>
        <w:keepLines w:val="0"/>
        <w:pageBreakBefore w:val="0"/>
        <w:widowControl w:val="0"/>
        <w:kinsoku/>
        <w:wordWrap/>
        <w:overflowPunct/>
        <w:topLinePunct w:val="0"/>
        <w:autoSpaceDE/>
        <w:autoSpaceDN/>
        <w:bidi w:val="0"/>
        <w:adjustRightInd/>
        <w:snapToGrid/>
        <w:spacing w:after="0" w:line="480" w:lineRule="exact"/>
        <w:ind w:right="0"/>
        <w:jc w:val="center"/>
        <w:textAlignment w:val="auto"/>
        <w:rPr>
          <w:rFonts w:hint="eastAsia" w:ascii="仿宋" w:hAnsi="仿宋" w:eastAsia="仿宋" w:cs="仿宋"/>
          <w:b/>
          <w:bCs/>
          <w:color w:val="000000"/>
          <w:sz w:val="36"/>
          <w:szCs w:val="36"/>
          <w:highlight w:val="none"/>
          <w:lang w:val="en-US" w:eastAsia="en-US" w:bidi="ar-SA"/>
        </w:rPr>
      </w:pPr>
      <w:r>
        <w:rPr>
          <w:rFonts w:hint="eastAsia" w:ascii="仿宋" w:hAnsi="仿宋" w:eastAsia="仿宋" w:cs="仿宋"/>
          <w:b/>
          <w:bCs/>
          <w:color w:val="000000"/>
          <w:sz w:val="36"/>
          <w:szCs w:val="36"/>
          <w:highlight w:val="none"/>
          <w:lang w:val="en-US" w:eastAsia="en-US" w:bidi="ar-SA"/>
        </w:rPr>
        <w:t>医药代表诚信廉洁承诺书</w:t>
      </w:r>
    </w:p>
    <w:p w14:paraId="1A00B3A7">
      <w:pPr>
        <w:spacing w:before="443" w:after="0" w:line="329" w:lineRule="exact"/>
        <w:ind w:left="672"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14"/>
          <w:sz w:val="28"/>
          <w:szCs w:val="28"/>
          <w:highlight w:val="none"/>
          <w:lang w:val="en-US" w:eastAsia="en-US" w:bidi="ar-SA"/>
        </w:rPr>
        <w:t>为进一步加强医德医风建设，杜绝医药购销中的“回扣”</w:t>
      </w:r>
    </w:p>
    <w:p w14:paraId="15C92C24">
      <w:pPr>
        <w:spacing w:before="192" w:after="0" w:line="329" w:lineRule="exact"/>
        <w:ind w:left="0"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20"/>
          <w:sz w:val="28"/>
          <w:szCs w:val="28"/>
          <w:highlight w:val="none"/>
          <w:lang w:val="en-US" w:eastAsia="en-US" w:bidi="ar-SA"/>
        </w:rPr>
        <w:t>“红包”和“提成”等不正之风，积极配合贵院做好医疗服</w:t>
      </w:r>
    </w:p>
    <w:p w14:paraId="32F9AE11">
      <w:pPr>
        <w:spacing w:before="192" w:after="0" w:line="329" w:lineRule="exact"/>
        <w:ind w:left="0"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16"/>
          <w:sz w:val="28"/>
          <w:szCs w:val="28"/>
          <w:highlight w:val="none"/>
          <w:lang w:val="en-US" w:eastAsia="en-US" w:bidi="ar-SA"/>
        </w:rPr>
        <w:t>务工作，维护本企业的信誉和形象，特作如下承诺：</w:t>
      </w:r>
    </w:p>
    <w:p w14:paraId="1042B26C">
      <w:pPr>
        <w:spacing w:before="189" w:after="0" w:line="329" w:lineRule="exact"/>
        <w:ind w:left="672"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16"/>
          <w:sz w:val="28"/>
          <w:szCs w:val="28"/>
          <w:highlight w:val="none"/>
          <w:lang w:val="en-US" w:eastAsia="en-US" w:bidi="ar-SA"/>
        </w:rPr>
        <w:t>一、未经备案不得开展学术推广等活动；</w:t>
      </w:r>
    </w:p>
    <w:p w14:paraId="0863AE9D">
      <w:pPr>
        <w:spacing w:before="192" w:after="0" w:line="329" w:lineRule="exact"/>
        <w:ind w:left="672"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16"/>
          <w:sz w:val="28"/>
          <w:szCs w:val="28"/>
          <w:highlight w:val="none"/>
          <w:lang w:val="en-US" w:eastAsia="en-US" w:bidi="ar-SA"/>
        </w:rPr>
        <w:t>二、未经医疗机构同意不得开展学术推广等活动；</w:t>
      </w:r>
    </w:p>
    <w:p w14:paraId="732EED23">
      <w:pPr>
        <w:spacing w:before="192" w:after="0" w:line="329" w:lineRule="exact"/>
        <w:ind w:left="672"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21"/>
          <w:sz w:val="28"/>
          <w:szCs w:val="28"/>
          <w:highlight w:val="none"/>
          <w:lang w:val="en-US" w:eastAsia="en-US" w:bidi="ar-SA"/>
        </w:rPr>
        <w:t>三、不得承担药品、医疗器械销售任务，实施收款和处</w:t>
      </w:r>
    </w:p>
    <w:p w14:paraId="0308D00D">
      <w:pPr>
        <w:spacing w:before="189" w:after="0" w:line="329" w:lineRule="exact"/>
        <w:ind w:left="0"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16"/>
          <w:sz w:val="28"/>
          <w:szCs w:val="28"/>
          <w:highlight w:val="none"/>
          <w:lang w:val="en-US" w:eastAsia="en-US" w:bidi="ar-SA"/>
        </w:rPr>
        <w:t>理购销票据等销售行为；</w:t>
      </w:r>
    </w:p>
    <w:p w14:paraId="388EB215">
      <w:pPr>
        <w:spacing w:before="192" w:after="0" w:line="329" w:lineRule="exact"/>
        <w:ind w:left="672"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21"/>
          <w:sz w:val="28"/>
          <w:szCs w:val="28"/>
          <w:highlight w:val="none"/>
          <w:lang w:val="en-US" w:eastAsia="en-US" w:bidi="ar-SA"/>
        </w:rPr>
        <w:t>四、不得参与统计医生个人开具的药品处方数量或者使</w:t>
      </w:r>
    </w:p>
    <w:p w14:paraId="1E09E29D">
      <w:pPr>
        <w:spacing w:before="192" w:after="0" w:line="329" w:lineRule="exact"/>
        <w:ind w:left="0"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16"/>
          <w:sz w:val="28"/>
          <w:szCs w:val="28"/>
          <w:highlight w:val="none"/>
          <w:lang w:val="en-US" w:eastAsia="en-US" w:bidi="ar-SA"/>
        </w:rPr>
        <w:t>用的医疗器械数量；</w:t>
      </w:r>
    </w:p>
    <w:p w14:paraId="23EFB715">
      <w:pPr>
        <w:spacing w:before="189" w:after="0" w:line="329" w:lineRule="exact"/>
        <w:ind w:left="672"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21"/>
          <w:sz w:val="28"/>
          <w:szCs w:val="28"/>
          <w:highlight w:val="none"/>
          <w:lang w:val="en-US" w:eastAsia="en-US" w:bidi="ar-SA"/>
        </w:rPr>
        <w:t>五、不得对医疗机构内设部门和个人直接提供捐赠、资</w:t>
      </w:r>
    </w:p>
    <w:p w14:paraId="4D999D76">
      <w:pPr>
        <w:spacing w:before="192" w:after="0" w:line="329" w:lineRule="exact"/>
        <w:ind w:left="0"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16"/>
          <w:sz w:val="28"/>
          <w:szCs w:val="28"/>
          <w:highlight w:val="none"/>
          <w:lang w:val="en-US" w:eastAsia="en-US" w:bidi="ar-SA"/>
        </w:rPr>
        <w:t>助、赞助；</w:t>
      </w:r>
    </w:p>
    <w:p w14:paraId="52F4C69A">
      <w:pPr>
        <w:spacing w:before="192" w:after="0" w:line="329" w:lineRule="exact"/>
        <w:ind w:left="672"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21"/>
          <w:sz w:val="28"/>
          <w:szCs w:val="28"/>
          <w:highlight w:val="none"/>
          <w:lang w:val="en-US" w:eastAsia="en-US" w:bidi="ar-SA"/>
        </w:rPr>
        <w:t>六、不得误导医生使用药品或医疗器械，夸大或者误导</w:t>
      </w:r>
    </w:p>
    <w:p w14:paraId="0445CAA8">
      <w:pPr>
        <w:spacing w:before="189" w:after="0" w:line="329" w:lineRule="exact"/>
        <w:ind w:left="0"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20"/>
          <w:sz w:val="28"/>
          <w:szCs w:val="28"/>
          <w:highlight w:val="none"/>
          <w:lang w:val="en-US" w:eastAsia="en-US" w:bidi="ar-SA"/>
        </w:rPr>
        <w:t>疗效，隐匿药品已知的不良反应信息（医疗器械已知的不良</w:t>
      </w:r>
    </w:p>
    <w:p w14:paraId="352BBB8E">
      <w:pPr>
        <w:spacing w:before="192" w:after="0" w:line="329" w:lineRule="exact"/>
        <w:ind w:left="0"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16"/>
          <w:sz w:val="28"/>
          <w:szCs w:val="28"/>
          <w:highlight w:val="none"/>
          <w:lang w:val="en-US" w:eastAsia="en-US" w:bidi="ar-SA"/>
        </w:rPr>
        <w:t>事件信息）或者隐瞒医生反馈的不良反应（事件）信息；</w:t>
      </w:r>
    </w:p>
    <w:p w14:paraId="128CC02F">
      <w:pPr>
        <w:spacing w:before="192" w:after="0" w:line="329" w:lineRule="exact"/>
        <w:ind w:right="0" w:firstLine="624" w:firstLineChars="200"/>
        <w:jc w:val="both"/>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16"/>
          <w:sz w:val="28"/>
          <w:szCs w:val="28"/>
          <w:highlight w:val="none"/>
          <w:lang w:val="en-US" w:eastAsia="en-US" w:bidi="ar-SA"/>
        </w:rPr>
        <w:t>七、不得有其他干预或者影响临床合理</w:t>
      </w:r>
      <w:r>
        <w:rPr>
          <w:rFonts w:hint="eastAsia" w:ascii="仿宋" w:hAnsi="仿宋" w:eastAsia="仿宋" w:cs="仿宋"/>
          <w:color w:val="000000"/>
          <w:spacing w:val="16"/>
          <w:sz w:val="28"/>
          <w:szCs w:val="28"/>
          <w:highlight w:val="none"/>
          <w:lang w:val="en-US" w:eastAsia="zh-CN" w:bidi="ar-SA"/>
        </w:rPr>
        <w:t>使用医疗器械</w:t>
      </w:r>
      <w:r>
        <w:rPr>
          <w:rFonts w:hint="eastAsia" w:ascii="仿宋" w:hAnsi="仿宋" w:eastAsia="仿宋" w:cs="仿宋"/>
          <w:color w:val="000000"/>
          <w:spacing w:val="16"/>
          <w:sz w:val="28"/>
          <w:szCs w:val="28"/>
          <w:highlight w:val="none"/>
          <w:lang w:val="en-US" w:eastAsia="en-US" w:bidi="ar-SA"/>
        </w:rPr>
        <w:t>的行为。</w:t>
      </w:r>
    </w:p>
    <w:p w14:paraId="5BF2C01D">
      <w:pPr>
        <w:spacing w:before="189" w:after="0" w:line="329" w:lineRule="exact"/>
        <w:ind w:left="672"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21"/>
          <w:sz w:val="28"/>
          <w:szCs w:val="28"/>
          <w:highlight w:val="none"/>
          <w:lang w:val="en-US" w:eastAsia="en-US" w:bidi="ar-SA"/>
        </w:rPr>
        <w:t>如有违反上述承诺，我愿意接受医疗机构通报、约谈以</w:t>
      </w:r>
    </w:p>
    <w:p w14:paraId="596160F7">
      <w:pPr>
        <w:spacing w:before="192" w:after="0" w:line="329" w:lineRule="exact"/>
        <w:ind w:left="0"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16"/>
          <w:sz w:val="28"/>
          <w:szCs w:val="28"/>
          <w:highlight w:val="none"/>
          <w:lang w:val="en-US" w:eastAsia="en-US" w:bidi="ar-SA"/>
        </w:rPr>
        <w:t>及停止使用</w:t>
      </w:r>
      <w:r>
        <w:rPr>
          <w:rFonts w:hint="eastAsia" w:ascii="仿宋" w:hAnsi="仿宋" w:eastAsia="仿宋" w:cs="仿宋"/>
          <w:color w:val="000000"/>
          <w:spacing w:val="16"/>
          <w:sz w:val="28"/>
          <w:szCs w:val="28"/>
          <w:highlight w:val="none"/>
          <w:lang w:val="en-US" w:eastAsia="zh-CN" w:bidi="ar-SA"/>
        </w:rPr>
        <w:t>医疗器械</w:t>
      </w:r>
      <w:r>
        <w:rPr>
          <w:rFonts w:hint="eastAsia" w:ascii="仿宋" w:hAnsi="仿宋" w:eastAsia="仿宋" w:cs="仿宋"/>
          <w:color w:val="000000"/>
          <w:spacing w:val="16"/>
          <w:sz w:val="28"/>
          <w:szCs w:val="28"/>
          <w:highlight w:val="none"/>
          <w:lang w:val="en-US" w:eastAsia="en-US" w:bidi="ar-SA"/>
        </w:rPr>
        <w:t>等处理，以及执法执纪部门的其他处理。</w:t>
      </w:r>
    </w:p>
    <w:p w14:paraId="68FAB050">
      <w:pPr>
        <w:keepNext w:val="0"/>
        <w:keepLines w:val="0"/>
        <w:pageBreakBefore w:val="0"/>
        <w:widowControl w:val="0"/>
        <w:kinsoku/>
        <w:wordWrap/>
        <w:overflowPunct/>
        <w:topLinePunct w:val="0"/>
        <w:autoSpaceDE/>
        <w:autoSpaceDN/>
        <w:bidi w:val="0"/>
        <w:adjustRightInd/>
        <w:snapToGrid/>
        <w:spacing w:after="0" w:line="560" w:lineRule="exact"/>
        <w:ind w:left="0" w:right="0" w:firstLine="0"/>
        <w:jc w:val="left"/>
        <w:textAlignment w:val="auto"/>
        <w:rPr>
          <w:rFonts w:hint="eastAsia" w:ascii="仿宋" w:hAnsi="仿宋" w:eastAsia="仿宋" w:cs="仿宋"/>
          <w:color w:val="000000"/>
          <w:spacing w:val="16"/>
          <w:sz w:val="28"/>
          <w:szCs w:val="28"/>
          <w:highlight w:val="none"/>
          <w:lang w:val="en-US" w:eastAsia="en-US" w:bidi="ar-SA"/>
        </w:rPr>
      </w:pPr>
    </w:p>
    <w:p w14:paraId="11361932">
      <w:pPr>
        <w:keepNext w:val="0"/>
        <w:keepLines w:val="0"/>
        <w:pageBreakBefore w:val="0"/>
        <w:widowControl w:val="0"/>
        <w:kinsoku/>
        <w:wordWrap/>
        <w:overflowPunct/>
        <w:topLinePunct w:val="0"/>
        <w:autoSpaceDE/>
        <w:autoSpaceDN/>
        <w:bidi w:val="0"/>
        <w:adjustRightInd/>
        <w:snapToGrid/>
        <w:spacing w:after="0" w:line="640" w:lineRule="exact"/>
        <w:ind w:left="0" w:right="0" w:firstLine="624" w:firstLineChars="200"/>
        <w:jc w:val="left"/>
        <w:textAlignment w:val="auto"/>
        <w:rPr>
          <w:rFonts w:hint="eastAsia" w:ascii="仿宋" w:hAnsi="仿宋" w:eastAsia="仿宋" w:cs="仿宋"/>
          <w:color w:val="000000"/>
          <w:spacing w:val="16"/>
          <w:sz w:val="28"/>
          <w:szCs w:val="28"/>
          <w:highlight w:val="none"/>
          <w:lang w:val="en-US" w:eastAsia="zh-CN" w:bidi="ar-SA"/>
        </w:rPr>
      </w:pPr>
      <w:r>
        <w:rPr>
          <w:rFonts w:hint="eastAsia" w:ascii="仿宋" w:hAnsi="仿宋" w:eastAsia="仿宋" w:cs="仿宋"/>
          <w:color w:val="000000"/>
          <w:spacing w:val="16"/>
          <w:sz w:val="28"/>
          <w:szCs w:val="28"/>
          <w:highlight w:val="none"/>
          <w:lang w:val="en-US" w:eastAsia="en-US" w:bidi="ar-SA"/>
        </w:rPr>
        <w:t>公司名称（盖章）：</w:t>
      </w:r>
      <w:r>
        <w:rPr>
          <w:rFonts w:hint="eastAsia" w:ascii="仿宋" w:hAnsi="仿宋" w:eastAsia="仿宋" w:cs="仿宋"/>
          <w:color w:val="000000"/>
          <w:spacing w:val="16"/>
          <w:sz w:val="28"/>
          <w:szCs w:val="28"/>
          <w:highlight w:val="none"/>
          <w:lang w:val="en-US" w:eastAsia="zh-CN" w:bidi="ar-SA"/>
        </w:rPr>
        <w:tab/>
      </w:r>
      <w:r>
        <w:rPr>
          <w:rFonts w:hint="eastAsia" w:ascii="仿宋" w:hAnsi="仿宋" w:eastAsia="仿宋" w:cs="仿宋"/>
          <w:color w:val="000000"/>
          <w:spacing w:val="16"/>
          <w:sz w:val="28"/>
          <w:szCs w:val="28"/>
          <w:highlight w:val="none"/>
          <w:lang w:val="en-US" w:eastAsia="zh-CN" w:bidi="ar-SA"/>
        </w:rPr>
        <w:tab/>
      </w:r>
      <w:r>
        <w:rPr>
          <w:rFonts w:hint="eastAsia" w:ascii="仿宋" w:hAnsi="仿宋" w:eastAsia="仿宋" w:cs="仿宋"/>
          <w:color w:val="000000"/>
          <w:spacing w:val="16"/>
          <w:sz w:val="28"/>
          <w:szCs w:val="28"/>
          <w:highlight w:val="none"/>
          <w:lang w:val="en-US" w:eastAsia="zh-CN" w:bidi="ar-SA"/>
        </w:rPr>
        <w:tab/>
      </w:r>
      <w:r>
        <w:rPr>
          <w:rFonts w:hint="eastAsia" w:ascii="仿宋" w:hAnsi="仿宋" w:eastAsia="仿宋" w:cs="仿宋"/>
          <w:color w:val="000000"/>
          <w:spacing w:val="16"/>
          <w:sz w:val="28"/>
          <w:szCs w:val="28"/>
          <w:highlight w:val="none"/>
          <w:lang w:val="en-US" w:eastAsia="zh-CN" w:bidi="ar-SA"/>
        </w:rPr>
        <w:tab/>
      </w:r>
      <w:r>
        <w:rPr>
          <w:rFonts w:hint="eastAsia" w:ascii="仿宋" w:hAnsi="仿宋" w:eastAsia="仿宋" w:cs="仿宋"/>
          <w:color w:val="000000"/>
          <w:spacing w:val="16"/>
          <w:sz w:val="28"/>
          <w:szCs w:val="28"/>
          <w:highlight w:val="none"/>
          <w:lang w:val="en-US" w:eastAsia="zh-CN" w:bidi="ar-SA"/>
        </w:rPr>
        <w:tab/>
      </w:r>
    </w:p>
    <w:p w14:paraId="36594C66">
      <w:pPr>
        <w:keepNext w:val="0"/>
        <w:keepLines w:val="0"/>
        <w:pageBreakBefore w:val="0"/>
        <w:widowControl w:val="0"/>
        <w:kinsoku/>
        <w:wordWrap/>
        <w:overflowPunct/>
        <w:topLinePunct w:val="0"/>
        <w:autoSpaceDE/>
        <w:autoSpaceDN/>
        <w:bidi w:val="0"/>
        <w:adjustRightInd/>
        <w:snapToGrid/>
        <w:spacing w:after="0" w:line="640" w:lineRule="exact"/>
        <w:ind w:left="0" w:right="0" w:firstLine="624" w:firstLineChars="200"/>
        <w:jc w:val="left"/>
        <w:textAlignment w:val="auto"/>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16"/>
          <w:sz w:val="28"/>
          <w:szCs w:val="28"/>
          <w:highlight w:val="none"/>
          <w:lang w:val="en-US" w:eastAsia="en-US" w:bidi="ar-SA"/>
        </w:rPr>
        <w:t>医药代表（签名）：</w:t>
      </w:r>
    </w:p>
    <w:p w14:paraId="11AF8608">
      <w:pPr>
        <w:keepNext w:val="0"/>
        <w:keepLines w:val="0"/>
        <w:pageBreakBefore w:val="0"/>
        <w:widowControl w:val="0"/>
        <w:kinsoku/>
        <w:wordWrap/>
        <w:overflowPunct/>
        <w:topLinePunct w:val="0"/>
        <w:autoSpaceDE/>
        <w:autoSpaceDN/>
        <w:bidi w:val="0"/>
        <w:adjustRightInd/>
        <w:snapToGrid/>
        <w:spacing w:line="640" w:lineRule="exact"/>
        <w:ind w:firstLine="624" w:firstLineChars="200"/>
        <w:textAlignment w:val="auto"/>
        <w:rPr>
          <w:rFonts w:hint="eastAsia" w:ascii="仿宋" w:hAnsi="仿宋" w:eastAsia="仿宋" w:cs="仿宋"/>
          <w:color w:val="000000"/>
          <w:spacing w:val="16"/>
          <w:sz w:val="28"/>
          <w:szCs w:val="28"/>
          <w:highlight w:val="none"/>
          <w:lang w:val="en-US" w:eastAsia="zh-CN" w:bidi="ar-SA"/>
        </w:rPr>
      </w:pPr>
      <w:r>
        <w:rPr>
          <w:rFonts w:hint="eastAsia" w:ascii="仿宋" w:hAnsi="仿宋" w:eastAsia="仿宋" w:cs="仿宋"/>
          <w:color w:val="000000"/>
          <w:spacing w:val="16"/>
          <w:sz w:val="28"/>
          <w:szCs w:val="28"/>
          <w:highlight w:val="none"/>
          <w:lang w:val="en-US" w:eastAsia="en-US" w:bidi="ar-SA"/>
        </w:rPr>
        <w:t>承诺日期：</w:t>
      </w:r>
      <w:r>
        <w:rPr>
          <w:rFonts w:hint="eastAsia" w:ascii="仿宋" w:hAnsi="仿宋" w:eastAsia="仿宋" w:cs="仿宋"/>
          <w:color w:val="000000"/>
          <w:spacing w:val="16"/>
          <w:sz w:val="28"/>
          <w:szCs w:val="28"/>
          <w:highlight w:val="none"/>
          <w:lang w:val="en-US" w:eastAsia="zh-CN" w:bidi="ar-SA"/>
        </w:rPr>
        <w:tab/>
      </w:r>
      <w:r>
        <w:rPr>
          <w:rFonts w:hint="eastAsia" w:ascii="仿宋" w:hAnsi="仿宋" w:eastAsia="仿宋" w:cs="仿宋"/>
          <w:color w:val="000000"/>
          <w:spacing w:val="16"/>
          <w:sz w:val="28"/>
          <w:szCs w:val="28"/>
          <w:highlight w:val="none"/>
          <w:lang w:val="en-US" w:eastAsia="zh-CN" w:bidi="ar-SA"/>
        </w:rPr>
        <w:tab/>
      </w:r>
      <w:r>
        <w:rPr>
          <w:rFonts w:hint="eastAsia" w:ascii="仿宋" w:hAnsi="仿宋" w:eastAsia="仿宋" w:cs="仿宋"/>
          <w:color w:val="000000"/>
          <w:spacing w:val="16"/>
          <w:sz w:val="28"/>
          <w:szCs w:val="28"/>
          <w:highlight w:val="none"/>
          <w:lang w:val="en-US" w:eastAsia="zh-CN" w:bidi="ar-SA"/>
        </w:rPr>
        <w:tab/>
      </w:r>
      <w:r>
        <w:rPr>
          <w:rFonts w:hint="eastAsia" w:ascii="仿宋" w:hAnsi="仿宋" w:eastAsia="仿宋" w:cs="仿宋"/>
          <w:color w:val="000000"/>
          <w:spacing w:val="16"/>
          <w:sz w:val="28"/>
          <w:szCs w:val="28"/>
          <w:highlight w:val="none"/>
          <w:lang w:val="en-US" w:eastAsia="zh-CN" w:bidi="ar-SA"/>
        </w:rPr>
        <w:tab/>
      </w:r>
      <w:r>
        <w:rPr>
          <w:rFonts w:hint="eastAsia" w:ascii="仿宋" w:hAnsi="仿宋" w:eastAsia="仿宋" w:cs="仿宋"/>
          <w:color w:val="000000"/>
          <w:spacing w:val="16"/>
          <w:sz w:val="28"/>
          <w:szCs w:val="28"/>
          <w:highlight w:val="none"/>
          <w:lang w:val="en-US" w:eastAsia="zh-CN" w:bidi="ar-SA"/>
        </w:rPr>
        <w:tab/>
      </w:r>
      <w:r>
        <w:rPr>
          <w:rFonts w:hint="eastAsia" w:ascii="仿宋" w:hAnsi="仿宋" w:eastAsia="仿宋" w:cs="仿宋"/>
          <w:color w:val="000000"/>
          <w:spacing w:val="16"/>
          <w:sz w:val="28"/>
          <w:szCs w:val="28"/>
          <w:highlight w:val="none"/>
          <w:lang w:val="en-US" w:eastAsia="zh-CN" w:bidi="ar-SA"/>
        </w:rPr>
        <w:tab/>
      </w:r>
      <w:r>
        <w:rPr>
          <w:rFonts w:hint="eastAsia" w:ascii="仿宋" w:hAnsi="仿宋" w:eastAsia="仿宋" w:cs="仿宋"/>
          <w:color w:val="000000"/>
          <w:spacing w:val="16"/>
          <w:sz w:val="28"/>
          <w:szCs w:val="28"/>
          <w:highlight w:val="none"/>
          <w:lang w:val="en-US" w:eastAsia="zh-CN" w:bidi="ar-SA"/>
        </w:rPr>
        <w:tab/>
      </w:r>
      <w:r>
        <w:rPr>
          <w:rFonts w:hint="eastAsia" w:ascii="仿宋" w:hAnsi="仿宋" w:eastAsia="仿宋" w:cs="仿宋"/>
          <w:color w:val="000000"/>
          <w:spacing w:val="16"/>
          <w:sz w:val="28"/>
          <w:szCs w:val="28"/>
          <w:highlight w:val="none"/>
          <w:lang w:val="en-US" w:eastAsia="zh-CN" w:bidi="ar-SA"/>
        </w:rPr>
        <w:tab/>
      </w:r>
    </w:p>
    <w:p w14:paraId="5E2ECB42">
      <w:pPr>
        <w:ind w:firstLine="624" w:firstLineChars="200"/>
        <w:rPr>
          <w:rFonts w:hint="default" w:ascii="仿宋" w:hAnsi="仿宋" w:eastAsia="仿宋" w:cs="仿宋"/>
          <w:sz w:val="28"/>
          <w:szCs w:val="28"/>
          <w:highlight w:val="none"/>
          <w:lang w:val="en-US" w:eastAsia="zh-CN"/>
        </w:rPr>
      </w:pPr>
      <w:r>
        <w:rPr>
          <w:rFonts w:hint="eastAsia" w:ascii="仿宋" w:hAnsi="仿宋" w:eastAsia="仿宋" w:cs="仿宋"/>
          <w:color w:val="000000"/>
          <w:spacing w:val="16"/>
          <w:sz w:val="28"/>
          <w:szCs w:val="28"/>
          <w:highlight w:val="none"/>
          <w:lang w:val="en-US" w:eastAsia="en-US" w:bidi="ar-SA"/>
        </w:rPr>
        <w:t>联系电话</w:t>
      </w:r>
      <w:r>
        <w:rPr>
          <w:rFonts w:hint="eastAsia" w:ascii="仿宋" w:hAnsi="仿宋" w:eastAsia="仿宋" w:cs="仿宋"/>
          <w:color w:val="000000"/>
          <w:spacing w:val="16"/>
          <w:sz w:val="28"/>
          <w:szCs w:val="28"/>
          <w:highlight w:val="none"/>
          <w:lang w:val="en-US" w:eastAsia="zh-CN" w:bidi="ar-SA"/>
        </w:rPr>
        <w:t>：</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3BDF1B3-77CE-4E32-B48E-D5EAA6984FE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0010101010101"/>
    <w:charset w:val="86"/>
    <w:family w:val="auto"/>
    <w:pitch w:val="default"/>
    <w:sig w:usb0="00000001" w:usb1="080E0000" w:usb2="00000000" w:usb3="00000000" w:csb0="00040000" w:csb1="00000000"/>
    <w:embedRegular r:id="rId2" w:fontKey="{A2ADBDD8-B5FA-437F-BA22-FD55156794E7}"/>
  </w:font>
  <w:font w:name="仿宋">
    <w:panose1 w:val="02010609060101010101"/>
    <w:charset w:val="86"/>
    <w:family w:val="modern"/>
    <w:pitch w:val="default"/>
    <w:sig w:usb0="800002BF" w:usb1="38CF7CFA" w:usb2="00000016" w:usb3="00000000" w:csb0="00040001" w:csb1="00000000"/>
    <w:embedRegular r:id="rId3" w:fontKey="{80F9F0BC-A56D-451C-AF64-B72F9B9B0DA4}"/>
  </w:font>
  <w:font w:name="方正小标宋_GBK">
    <w:panose1 w:val="02000000000000000000"/>
    <w:charset w:val="86"/>
    <w:family w:val="auto"/>
    <w:pitch w:val="default"/>
    <w:sig w:usb0="A00002BF" w:usb1="38CF7CFA" w:usb2="00082016" w:usb3="00000000" w:csb0="00040001" w:csb1="00000000"/>
    <w:embedRegular r:id="rId4" w:fontKey="{249EE47E-015C-4015-B718-CD0D162539D0}"/>
  </w:font>
  <w:font w:name="华文中宋">
    <w:panose1 w:val="02010600040101010101"/>
    <w:charset w:val="86"/>
    <w:family w:val="auto"/>
    <w:pitch w:val="default"/>
    <w:sig w:usb0="00000287" w:usb1="080F0000" w:usb2="00000000" w:usb3="00000000" w:csb0="0004009F" w:csb1="DFD70000"/>
    <w:embedRegular r:id="rId5" w:fontKey="{B11ADC85-81C7-4A1D-A77B-ECFB36085244}"/>
  </w:font>
  <w:font w:name="仿宋_GB2312">
    <w:altName w:val="仿宋"/>
    <w:panose1 w:val="02010609030101010101"/>
    <w:charset w:val="86"/>
    <w:family w:val="modern"/>
    <w:pitch w:val="default"/>
    <w:sig w:usb0="00000000" w:usb1="00000000" w:usb2="00000000" w:usb3="00000000" w:csb0="00040000" w:csb1="00000000"/>
    <w:embedRegular r:id="rId6" w:fontKey="{5D84EDC2-028A-4AAF-9BF1-DC8D1C5FC8E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37064">
    <w:pPr>
      <w:pStyle w:val="4"/>
      <w:jc w:val="center"/>
      <w:rPr>
        <w:sz w:val="24"/>
        <w:szCs w:val="24"/>
      </w:rPr>
    </w:pPr>
    <w:r>
      <w:rPr>
        <w:sz w:val="24"/>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52F884F">
                          <w:pPr>
                            <w:pStyle w:val="4"/>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8</w:t>
                          </w:r>
                          <w:r>
                            <w:rPr>
                              <w:rFonts w:hint="eastAsia" w:ascii="仿宋" w:hAnsi="仿宋" w:eastAsia="仿宋" w:cs="仿宋"/>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052F884F">
                    <w:pPr>
                      <w:pStyle w:val="4"/>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8</w:t>
                    </w:r>
                    <w:r>
                      <w:rPr>
                        <w:rFonts w:hint="eastAsia" w:ascii="仿宋" w:hAnsi="仿宋" w:eastAsia="仿宋" w:cs="仿宋"/>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27354">
    <w:pPr>
      <w:pStyle w:val="4"/>
      <w:jc w:val="center"/>
      <w:rPr>
        <w:sz w:val="24"/>
        <w:szCs w:val="24"/>
      </w:rPr>
    </w:pPr>
    <w:r>
      <w:rPr>
        <w:sz w:val="24"/>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423615F">
                          <w:pPr>
                            <w:pStyle w:val="4"/>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8</w:t>
                          </w:r>
                          <w:r>
                            <w:rPr>
                              <w:rFonts w:hint="eastAsia" w:ascii="仿宋" w:hAnsi="仿宋" w:eastAsia="仿宋" w:cs="仿宋"/>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4423615F">
                    <w:pPr>
                      <w:pStyle w:val="4"/>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8</w:t>
                    </w:r>
                    <w:r>
                      <w:rPr>
                        <w:rFonts w:hint="eastAsia" w:ascii="仿宋" w:hAnsi="仿宋" w:eastAsia="仿宋" w:cs="仿宋"/>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F9D0F">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4BE91">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201129"/>
    <w:multiLevelType w:val="singleLevel"/>
    <w:tmpl w:val="9C201129"/>
    <w:lvl w:ilvl="0" w:tentative="0">
      <w:start w:val="1"/>
      <w:numFmt w:val="chineseCounting"/>
      <w:suff w:val="nothing"/>
      <w:lvlText w:val="%1、"/>
      <w:lvlJc w:val="left"/>
      <w:rPr>
        <w:rFonts w:hint="eastAsia"/>
      </w:rPr>
    </w:lvl>
  </w:abstractNum>
  <w:abstractNum w:abstractNumId="1">
    <w:nsid w:val="E10184DF"/>
    <w:multiLevelType w:val="singleLevel"/>
    <w:tmpl w:val="E10184DF"/>
    <w:lvl w:ilvl="0" w:tentative="0">
      <w:start w:val="7"/>
      <w:numFmt w:val="chineseCounting"/>
      <w:suff w:val="nothing"/>
      <w:lvlText w:val="%1、"/>
      <w:lvlJc w:val="left"/>
      <w:rPr>
        <w:rFonts w:hint="eastAsia" w:ascii="黑体" w:hAnsi="黑体" w:eastAsia="黑体" w:cs="黑体"/>
        <w:b/>
        <w:bCs/>
        <w:sz w:val="24"/>
        <w:szCs w:val="24"/>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803F3B"/>
    <w:rsid w:val="005F037B"/>
    <w:rsid w:val="00BA7CA7"/>
    <w:rsid w:val="01574DC4"/>
    <w:rsid w:val="01C479D0"/>
    <w:rsid w:val="02436E14"/>
    <w:rsid w:val="02D74B40"/>
    <w:rsid w:val="04F041D0"/>
    <w:rsid w:val="064029FC"/>
    <w:rsid w:val="06E87934"/>
    <w:rsid w:val="07572B12"/>
    <w:rsid w:val="0770377F"/>
    <w:rsid w:val="07797F74"/>
    <w:rsid w:val="078608E3"/>
    <w:rsid w:val="07D258D6"/>
    <w:rsid w:val="08436259"/>
    <w:rsid w:val="09992B4F"/>
    <w:rsid w:val="0AE71698"/>
    <w:rsid w:val="0B6B4077"/>
    <w:rsid w:val="0C52306D"/>
    <w:rsid w:val="0D0E55BA"/>
    <w:rsid w:val="0D921D8F"/>
    <w:rsid w:val="0EC75A69"/>
    <w:rsid w:val="0F2C1D02"/>
    <w:rsid w:val="0F3375A2"/>
    <w:rsid w:val="10AF2C58"/>
    <w:rsid w:val="11360D37"/>
    <w:rsid w:val="12635200"/>
    <w:rsid w:val="13947CC5"/>
    <w:rsid w:val="13A7230D"/>
    <w:rsid w:val="14E804E7"/>
    <w:rsid w:val="14FF57B2"/>
    <w:rsid w:val="154871D8"/>
    <w:rsid w:val="166444E5"/>
    <w:rsid w:val="16BF1700"/>
    <w:rsid w:val="16CA1121"/>
    <w:rsid w:val="19520625"/>
    <w:rsid w:val="19524AC9"/>
    <w:rsid w:val="195F2D42"/>
    <w:rsid w:val="1ABF5356"/>
    <w:rsid w:val="1AFF29CD"/>
    <w:rsid w:val="1B1C5748"/>
    <w:rsid w:val="1B966540"/>
    <w:rsid w:val="1BAC3F4C"/>
    <w:rsid w:val="1BC46DAD"/>
    <w:rsid w:val="1BCF41AF"/>
    <w:rsid w:val="1C2A7637"/>
    <w:rsid w:val="1C7F3E27"/>
    <w:rsid w:val="1C9553F8"/>
    <w:rsid w:val="1D527C4A"/>
    <w:rsid w:val="1D9E208B"/>
    <w:rsid w:val="1EDC7B87"/>
    <w:rsid w:val="1F462C28"/>
    <w:rsid w:val="1FF82DDD"/>
    <w:rsid w:val="203474F7"/>
    <w:rsid w:val="207E1C65"/>
    <w:rsid w:val="21D818E3"/>
    <w:rsid w:val="23A83C63"/>
    <w:rsid w:val="23A92848"/>
    <w:rsid w:val="244F0582"/>
    <w:rsid w:val="24653902"/>
    <w:rsid w:val="2504136D"/>
    <w:rsid w:val="257007B0"/>
    <w:rsid w:val="25B639F4"/>
    <w:rsid w:val="25E1520A"/>
    <w:rsid w:val="26220978"/>
    <w:rsid w:val="2652435A"/>
    <w:rsid w:val="26862383"/>
    <w:rsid w:val="26F929A0"/>
    <w:rsid w:val="27E25126"/>
    <w:rsid w:val="28386F39"/>
    <w:rsid w:val="288A1C08"/>
    <w:rsid w:val="29DF06B9"/>
    <w:rsid w:val="29E95424"/>
    <w:rsid w:val="29FD282F"/>
    <w:rsid w:val="2A104310"/>
    <w:rsid w:val="2A5F0DF4"/>
    <w:rsid w:val="2A7D74CC"/>
    <w:rsid w:val="2B5E10AB"/>
    <w:rsid w:val="2B8925CC"/>
    <w:rsid w:val="2CE505A9"/>
    <w:rsid w:val="2D2C76B3"/>
    <w:rsid w:val="2D614F7C"/>
    <w:rsid w:val="2EA4771D"/>
    <w:rsid w:val="2EBD0E37"/>
    <w:rsid w:val="2F9B28CE"/>
    <w:rsid w:val="300132B0"/>
    <w:rsid w:val="3049232A"/>
    <w:rsid w:val="3095556F"/>
    <w:rsid w:val="32B60A96"/>
    <w:rsid w:val="3335291C"/>
    <w:rsid w:val="33751688"/>
    <w:rsid w:val="33C25684"/>
    <w:rsid w:val="3442239D"/>
    <w:rsid w:val="34D267A1"/>
    <w:rsid w:val="35064C8D"/>
    <w:rsid w:val="356C7FB1"/>
    <w:rsid w:val="35A83B1E"/>
    <w:rsid w:val="36420423"/>
    <w:rsid w:val="367B6FB5"/>
    <w:rsid w:val="369B1F53"/>
    <w:rsid w:val="38B13162"/>
    <w:rsid w:val="38D62BC9"/>
    <w:rsid w:val="39C742BF"/>
    <w:rsid w:val="39D92970"/>
    <w:rsid w:val="3D803F3B"/>
    <w:rsid w:val="3D874491"/>
    <w:rsid w:val="3F3E5024"/>
    <w:rsid w:val="3FBA6DA0"/>
    <w:rsid w:val="405E6989"/>
    <w:rsid w:val="40C46053"/>
    <w:rsid w:val="410D73A4"/>
    <w:rsid w:val="412D5350"/>
    <w:rsid w:val="41C20915"/>
    <w:rsid w:val="42402E61"/>
    <w:rsid w:val="42DD5591"/>
    <w:rsid w:val="42DF267A"/>
    <w:rsid w:val="42E859D2"/>
    <w:rsid w:val="436D4129"/>
    <w:rsid w:val="43B34232"/>
    <w:rsid w:val="443F1622"/>
    <w:rsid w:val="45016DD4"/>
    <w:rsid w:val="458F2F0D"/>
    <w:rsid w:val="45C36283"/>
    <w:rsid w:val="46690BD8"/>
    <w:rsid w:val="474D4056"/>
    <w:rsid w:val="47691236"/>
    <w:rsid w:val="47D209FF"/>
    <w:rsid w:val="489B7043"/>
    <w:rsid w:val="48D50670"/>
    <w:rsid w:val="4A3D6B41"/>
    <w:rsid w:val="4A3E05CE"/>
    <w:rsid w:val="4AA3092D"/>
    <w:rsid w:val="4B873CCC"/>
    <w:rsid w:val="4B920F8C"/>
    <w:rsid w:val="4C0851C2"/>
    <w:rsid w:val="4C1438DE"/>
    <w:rsid w:val="4C304C0E"/>
    <w:rsid w:val="4CFA6A2E"/>
    <w:rsid w:val="4D5E4B39"/>
    <w:rsid w:val="4DAE4EA5"/>
    <w:rsid w:val="4F207170"/>
    <w:rsid w:val="4FD95020"/>
    <w:rsid w:val="50566671"/>
    <w:rsid w:val="50A8054F"/>
    <w:rsid w:val="50C11611"/>
    <w:rsid w:val="51894111"/>
    <w:rsid w:val="52CC0A95"/>
    <w:rsid w:val="541807B8"/>
    <w:rsid w:val="55386147"/>
    <w:rsid w:val="55886BA1"/>
    <w:rsid w:val="562E03A3"/>
    <w:rsid w:val="570109B9"/>
    <w:rsid w:val="5726041F"/>
    <w:rsid w:val="58ED4416"/>
    <w:rsid w:val="5996422E"/>
    <w:rsid w:val="5BC56459"/>
    <w:rsid w:val="5C5F68AD"/>
    <w:rsid w:val="5C9A78E6"/>
    <w:rsid w:val="5DB5624F"/>
    <w:rsid w:val="5DD76835"/>
    <w:rsid w:val="5EFE7A42"/>
    <w:rsid w:val="5F2B0CC9"/>
    <w:rsid w:val="61DE0274"/>
    <w:rsid w:val="628F7EB3"/>
    <w:rsid w:val="62E53885"/>
    <w:rsid w:val="63452AE3"/>
    <w:rsid w:val="636C7B02"/>
    <w:rsid w:val="641A0F88"/>
    <w:rsid w:val="64AF7CA6"/>
    <w:rsid w:val="65842EE1"/>
    <w:rsid w:val="663E5786"/>
    <w:rsid w:val="67283D40"/>
    <w:rsid w:val="68394457"/>
    <w:rsid w:val="68727968"/>
    <w:rsid w:val="68E5013A"/>
    <w:rsid w:val="694035C3"/>
    <w:rsid w:val="6AED1528"/>
    <w:rsid w:val="6B824366"/>
    <w:rsid w:val="6B8F764C"/>
    <w:rsid w:val="6C6677E4"/>
    <w:rsid w:val="6C9C160F"/>
    <w:rsid w:val="6DE05374"/>
    <w:rsid w:val="6DEC5AC7"/>
    <w:rsid w:val="6E9323E7"/>
    <w:rsid w:val="6EDD0ED1"/>
    <w:rsid w:val="6F2A4AF9"/>
    <w:rsid w:val="6F573414"/>
    <w:rsid w:val="6F631DB9"/>
    <w:rsid w:val="6FA523D2"/>
    <w:rsid w:val="719C7804"/>
    <w:rsid w:val="74444A38"/>
    <w:rsid w:val="74BF5CE3"/>
    <w:rsid w:val="756E14B8"/>
    <w:rsid w:val="763D3998"/>
    <w:rsid w:val="76C53A1F"/>
    <w:rsid w:val="77550B81"/>
    <w:rsid w:val="791B3704"/>
    <w:rsid w:val="7A460BE1"/>
    <w:rsid w:val="7A4D5B40"/>
    <w:rsid w:val="7AAA4D40"/>
    <w:rsid w:val="7D0A5F6A"/>
    <w:rsid w:val="7DEF5715"/>
    <w:rsid w:val="7E0D0EDC"/>
    <w:rsid w:val="7E9E2E0E"/>
    <w:rsid w:val="7F217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paragraph" w:customStyle="1" w:styleId="11">
    <w:name w:val="Default"/>
    <w:next w:val="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2">
    <w:name w:val="font91"/>
    <w:basedOn w:val="9"/>
    <w:qFormat/>
    <w:uiPriority w:val="0"/>
    <w:rPr>
      <w:rFonts w:hint="eastAsia" w:ascii="宋体" w:hAnsi="宋体" w:eastAsia="宋体" w:cs="宋体"/>
      <w:b/>
      <w:bCs/>
      <w:color w:val="000000"/>
      <w:sz w:val="28"/>
      <w:szCs w:val="28"/>
      <w:u w:val="single"/>
    </w:rPr>
  </w:style>
  <w:style w:type="character" w:customStyle="1" w:styleId="13">
    <w:name w:val="font61"/>
    <w:basedOn w:val="9"/>
    <w:qFormat/>
    <w:uiPriority w:val="0"/>
    <w:rPr>
      <w:rFonts w:hint="eastAsia" w:ascii="宋体" w:hAnsi="宋体" w:eastAsia="宋体" w:cs="宋体"/>
      <w:b/>
      <w:bCs/>
      <w:color w:val="2D54A0"/>
      <w:sz w:val="22"/>
      <w:szCs w:val="22"/>
      <w:u w:val="none"/>
    </w:rPr>
  </w:style>
  <w:style w:type="character" w:customStyle="1" w:styleId="14">
    <w:name w:val="font01"/>
    <w:basedOn w:val="9"/>
    <w:qFormat/>
    <w:uiPriority w:val="0"/>
    <w:rPr>
      <w:rFonts w:hint="eastAsia" w:ascii="宋体" w:hAnsi="宋体" w:eastAsia="宋体" w:cs="宋体"/>
      <w:color w:val="000000"/>
      <w:sz w:val="22"/>
      <w:szCs w:val="22"/>
      <w:u w:val="none"/>
    </w:rPr>
  </w:style>
  <w:style w:type="character" w:customStyle="1" w:styleId="15">
    <w:name w:val="font101"/>
    <w:basedOn w:val="9"/>
    <w:qFormat/>
    <w:uiPriority w:val="0"/>
    <w:rPr>
      <w:rFonts w:hint="eastAsia" w:ascii="宋体" w:hAnsi="宋体" w:eastAsia="宋体" w:cs="宋体"/>
      <w:b/>
      <w:bCs/>
      <w:color w:val="2D54A0"/>
      <w:sz w:val="22"/>
      <w:szCs w:val="22"/>
      <w:u w:val="single"/>
    </w:rPr>
  </w:style>
  <w:style w:type="character" w:customStyle="1" w:styleId="16">
    <w:name w:val="font71"/>
    <w:basedOn w:val="9"/>
    <w:qFormat/>
    <w:uiPriority w:val="0"/>
    <w:rPr>
      <w:rFonts w:hint="eastAsia" w:ascii="宋体" w:hAnsi="宋体" w:eastAsia="宋体" w:cs="宋体"/>
      <w:b/>
      <w:bCs/>
      <w:color w:val="000000"/>
      <w:sz w:val="22"/>
      <w:szCs w:val="22"/>
      <w:u w:val="none"/>
    </w:rPr>
  </w:style>
  <w:style w:type="character" w:customStyle="1" w:styleId="17">
    <w:name w:val="font112"/>
    <w:basedOn w:val="9"/>
    <w:qFormat/>
    <w:uiPriority w:val="0"/>
    <w:rPr>
      <w:rFonts w:hint="eastAsia" w:ascii="宋体" w:hAnsi="宋体" w:eastAsia="宋体" w:cs="宋体"/>
      <w:color w:val="000000"/>
      <w:sz w:val="22"/>
      <w:szCs w:val="22"/>
      <w:u w:val="single"/>
    </w:rPr>
  </w:style>
  <w:style w:type="character" w:customStyle="1" w:styleId="18">
    <w:name w:val="font121"/>
    <w:basedOn w:val="9"/>
    <w:qFormat/>
    <w:uiPriority w:val="0"/>
    <w:rPr>
      <w:rFonts w:hint="eastAsia" w:ascii="宋体" w:hAnsi="宋体" w:eastAsia="宋体" w:cs="宋体"/>
      <w:color w:val="2D54A0"/>
      <w:sz w:val="22"/>
      <w:szCs w:val="22"/>
      <w:u w:val="single"/>
    </w:rPr>
  </w:style>
  <w:style w:type="character" w:customStyle="1" w:styleId="19">
    <w:name w:val="font31"/>
    <w:basedOn w:val="9"/>
    <w:qFormat/>
    <w:uiPriority w:val="0"/>
    <w:rPr>
      <w:rFonts w:hint="eastAsia" w:ascii="宋体" w:hAnsi="宋体" w:eastAsia="宋体" w:cs="宋体"/>
      <w:b/>
      <w:bCs/>
      <w:color w:val="000000"/>
      <w:sz w:val="28"/>
      <w:szCs w:val="28"/>
      <w:u w:val="none"/>
    </w:rPr>
  </w:style>
  <w:style w:type="character" w:customStyle="1" w:styleId="20">
    <w:name w:val="font41"/>
    <w:basedOn w:val="9"/>
    <w:qFormat/>
    <w:uiPriority w:val="0"/>
    <w:rPr>
      <w:rFonts w:hint="eastAsia" w:ascii="宋体" w:hAnsi="宋体" w:eastAsia="宋体" w:cs="宋体"/>
      <w:color w:val="000000"/>
      <w:sz w:val="22"/>
      <w:szCs w:val="22"/>
      <w:u w:val="none"/>
    </w:rPr>
  </w:style>
  <w:style w:type="character" w:customStyle="1" w:styleId="21">
    <w:name w:val="font51"/>
    <w:basedOn w:val="9"/>
    <w:qFormat/>
    <w:uiPriority w:val="0"/>
    <w:rPr>
      <w:rFonts w:hint="eastAsia" w:ascii="宋体" w:hAnsi="宋体" w:eastAsia="宋体" w:cs="宋体"/>
      <w:b/>
      <w:bCs/>
      <w:color w:val="2D54A0"/>
      <w:sz w:val="22"/>
      <w:szCs w:val="22"/>
      <w:u w:val="none"/>
    </w:rPr>
  </w:style>
  <w:style w:type="character" w:customStyle="1" w:styleId="22">
    <w:name w:val="font131"/>
    <w:basedOn w:val="9"/>
    <w:qFormat/>
    <w:uiPriority w:val="0"/>
    <w:rPr>
      <w:rFonts w:hint="eastAsia" w:ascii="宋体" w:hAnsi="宋体" w:eastAsia="宋体" w:cs="宋体"/>
      <w:color w:val="2D54A0"/>
      <w:sz w:val="22"/>
      <w:szCs w:val="22"/>
      <w:u w:val="single"/>
    </w:rPr>
  </w:style>
  <w:style w:type="character" w:customStyle="1" w:styleId="23">
    <w:name w:val="font11"/>
    <w:basedOn w:val="9"/>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3533</Words>
  <Characters>3738</Characters>
  <Lines>0</Lines>
  <Paragraphs>0</Paragraphs>
  <TotalTime>9</TotalTime>
  <ScaleCrop>false</ScaleCrop>
  <LinksUpToDate>false</LinksUpToDate>
  <CharactersWithSpaces>3742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2025-03-12T01:38:00Z</dcterms:created>
  <dc:creator>漾i</dc:creator>
  <cp:lastModifiedBy>李璐</cp:lastModifiedBy>
  <dcterms:modified xsi:type="dcterms:W3CDTF">2026-07-31T07:56:37Z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3D21C7FE5721473BAE83920770FCEC33_13</vt:lpwstr>
  </property>
  <property fmtid="{D5CDD505-2E9C-101B-9397-08002B2CF9AE}" pid="4" name="KSOTemplateDocerSaveRecord">
    <vt:lpwstr>eyJoZGlkIjoiNjVjODMxNDY1OGU2Y2Q3OWI4NGE5NTFhM2I2Nzc4NzQiLCJ1c2VySWQiOiIxNTczOTY1MjkzIn0=</vt:lpwstr>
  </property>
</Properties>
</file>