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6</w:t>
      </w:r>
      <w:r>
        <w:rPr>
          <w:rFonts w:hint="eastAsia" w:ascii="宋体" w:hAnsi="宋体" w:cs="Times New Roman"/>
          <w:b/>
          <w:bCs/>
          <w:sz w:val="24"/>
        </w:rPr>
        <w:t>-0</w:t>
      </w:r>
      <w:r>
        <w:rPr>
          <w:rFonts w:hint="eastAsia" w:ascii="宋体" w:hAnsi="宋体" w:cs="Times New Roman"/>
          <w:b/>
          <w:bCs/>
          <w:sz w:val="24"/>
          <w:lang w:val="en-US" w:eastAsia="zh-CN"/>
        </w:rPr>
        <w:t>3</w:t>
      </w:r>
    </w:p>
    <w:p w14:paraId="50C35FBF">
      <w:pPr>
        <w:spacing w:line="440" w:lineRule="exact"/>
        <w:ind w:firstLine="482" w:firstLineChars="200"/>
        <w:rPr>
          <w:rFonts w:hint="eastAsia" w:ascii="宋体" w:hAnsi="宋体" w:eastAsia="宋体" w:cs="宋体"/>
          <w:b/>
          <w:kern w:val="0"/>
          <w:sz w:val="24"/>
          <w:shd w:val="clear" w:color="auto" w:fill="FFFFFF"/>
          <w:lang w:eastAsia="zh-CN"/>
        </w:rPr>
      </w:pPr>
      <w:r>
        <w:rPr>
          <w:rFonts w:hint="eastAsia"/>
          <w:b/>
          <w:bCs/>
          <w:sz w:val="24"/>
        </w:rPr>
        <w:t>二、项目名称：</w:t>
      </w:r>
      <w:r>
        <w:rPr>
          <w:rFonts w:hint="eastAsia"/>
          <w:b/>
          <w:bCs/>
          <w:sz w:val="24"/>
          <w:lang w:val="en-US" w:eastAsia="zh-CN"/>
        </w:rPr>
        <w:t>中成</w:t>
      </w:r>
      <w:r>
        <w:rPr>
          <w:rFonts w:hint="eastAsia" w:ascii="宋体" w:hAnsi="宋体" w:cs="宋体"/>
          <w:b/>
          <w:kern w:val="0"/>
          <w:sz w:val="24"/>
          <w:shd w:val="clear" w:color="auto" w:fill="FFFFFF"/>
        </w:rPr>
        <w:t>药</w:t>
      </w:r>
      <w:r>
        <w:rPr>
          <w:rFonts w:hint="eastAsia" w:ascii="宋体" w:hAnsi="宋体" w:cs="宋体"/>
          <w:b/>
          <w:kern w:val="0"/>
          <w:sz w:val="24"/>
          <w:shd w:val="clear" w:color="auto" w:fill="FFFFFF"/>
          <w:lang w:val="en-US" w:eastAsia="zh-CN"/>
        </w:rPr>
        <w:t>批量</w:t>
      </w:r>
      <w:r>
        <w:rPr>
          <w:rFonts w:hint="eastAsia" w:ascii="宋体" w:hAnsi="宋体" w:cs="宋体"/>
          <w:b/>
          <w:kern w:val="0"/>
          <w:sz w:val="24"/>
          <w:shd w:val="clear" w:color="auto" w:fill="FFFFFF"/>
        </w:rPr>
        <w:t>询价项目</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第二批</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第三次</w:t>
      </w:r>
      <w:r>
        <w:rPr>
          <w:rFonts w:hint="eastAsia" w:ascii="宋体" w:hAnsi="宋体" w:cs="宋体"/>
          <w:b/>
          <w:kern w:val="0"/>
          <w:sz w:val="24"/>
          <w:shd w:val="clear" w:color="auto" w:fill="FFFFFF"/>
          <w:lang w:eastAsia="zh-CN"/>
        </w:rPr>
        <w:t>）</w:t>
      </w:r>
    </w:p>
    <w:p w14:paraId="4BAF4B4E">
      <w:pPr>
        <w:spacing w:line="440" w:lineRule="exact"/>
        <w:ind w:firstLine="482" w:firstLineChars="200"/>
        <w:rPr>
          <w:b/>
          <w:bCs/>
          <w:sz w:val="24"/>
        </w:rPr>
      </w:pPr>
      <w:r>
        <w:rPr>
          <w:rFonts w:hint="eastAsia"/>
          <w:b/>
          <w:bCs/>
          <w:sz w:val="24"/>
        </w:rPr>
        <w:t>三、项目清单</w:t>
      </w:r>
    </w:p>
    <w:tbl>
      <w:tblPr>
        <w:tblStyle w:val="7"/>
        <w:tblpPr w:leftFromText="180" w:rightFromText="180" w:vertAnchor="text" w:horzAnchor="page" w:tblpX="1582" w:tblpY="183"/>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51"/>
        <w:gridCol w:w="2176"/>
        <w:gridCol w:w="1036"/>
        <w:gridCol w:w="2332"/>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14:paraId="5523E59B">
            <w:pPr>
              <w:jc w:val="center"/>
              <w:rPr>
                <w:rFonts w:ascii="宋体" w:hAnsi="宋体" w:cs="宋体"/>
                <w:sz w:val="24"/>
              </w:rPr>
            </w:pPr>
            <w:r>
              <w:rPr>
                <w:rFonts w:hint="eastAsia" w:ascii="宋体" w:hAnsi="宋体" w:cs="宋体"/>
                <w:sz w:val="24"/>
              </w:rPr>
              <w:t>包号</w:t>
            </w:r>
          </w:p>
        </w:tc>
        <w:tc>
          <w:tcPr>
            <w:tcW w:w="2751" w:type="dxa"/>
          </w:tcPr>
          <w:p w14:paraId="1E56C8E4">
            <w:pPr>
              <w:jc w:val="center"/>
              <w:rPr>
                <w:rFonts w:ascii="宋体" w:hAnsi="宋体" w:cs="宋体"/>
                <w:sz w:val="24"/>
              </w:rPr>
            </w:pPr>
            <w:r>
              <w:rPr>
                <w:rFonts w:hint="eastAsia" w:ascii="宋体" w:hAnsi="宋体" w:cs="宋体"/>
                <w:sz w:val="24"/>
              </w:rPr>
              <w:t>药品名称</w:t>
            </w:r>
          </w:p>
        </w:tc>
        <w:tc>
          <w:tcPr>
            <w:tcW w:w="2176" w:type="dxa"/>
          </w:tcPr>
          <w:p w14:paraId="704EA2C1">
            <w:pPr>
              <w:jc w:val="center"/>
              <w:rPr>
                <w:rFonts w:ascii="宋体" w:hAnsi="宋体" w:cs="宋体"/>
                <w:sz w:val="24"/>
              </w:rPr>
            </w:pPr>
            <w:r>
              <w:rPr>
                <w:rFonts w:hint="eastAsia" w:ascii="宋体" w:hAnsi="宋体" w:cs="宋体"/>
                <w:sz w:val="24"/>
              </w:rPr>
              <w:t>规格</w:t>
            </w:r>
          </w:p>
        </w:tc>
        <w:tc>
          <w:tcPr>
            <w:tcW w:w="1036" w:type="dxa"/>
          </w:tcPr>
          <w:p w14:paraId="28249469">
            <w:pPr>
              <w:jc w:val="center"/>
              <w:rPr>
                <w:rFonts w:ascii="宋体" w:hAnsi="宋体" w:cs="宋体"/>
                <w:sz w:val="24"/>
              </w:rPr>
            </w:pPr>
            <w:r>
              <w:rPr>
                <w:rFonts w:hint="eastAsia" w:ascii="宋体" w:hAnsi="宋体" w:cs="宋体"/>
                <w:sz w:val="24"/>
              </w:rPr>
              <w:t>单位</w:t>
            </w:r>
          </w:p>
        </w:tc>
        <w:tc>
          <w:tcPr>
            <w:tcW w:w="2332" w:type="dxa"/>
          </w:tcPr>
          <w:p w14:paraId="55FDB4FA">
            <w:pPr>
              <w:jc w:val="center"/>
              <w:rPr>
                <w:rFonts w:ascii="宋体" w:hAnsi="宋体" w:cs="宋体"/>
                <w:sz w:val="24"/>
              </w:rPr>
            </w:pPr>
            <w:r>
              <w:rPr>
                <w:rFonts w:hint="eastAsia" w:ascii="宋体" w:hAnsi="宋体" w:cs="宋体"/>
                <w:sz w:val="24"/>
              </w:rPr>
              <w:t>数量</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9" w:type="dxa"/>
            <w:vAlign w:val="center"/>
          </w:tcPr>
          <w:p w14:paraId="3439F12F">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51" w:type="dxa"/>
            <w:shd w:val="clear" w:color="auto" w:fill="auto"/>
            <w:vAlign w:val="center"/>
          </w:tcPr>
          <w:p w14:paraId="25EB1B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当归补血口服液</w:t>
            </w:r>
          </w:p>
        </w:tc>
        <w:tc>
          <w:tcPr>
            <w:tcW w:w="2176" w:type="dxa"/>
            <w:shd w:val="clear" w:color="auto" w:fill="auto"/>
            <w:vAlign w:val="center"/>
          </w:tcPr>
          <w:p w14:paraId="222A69B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10ml*20支/盒</w:t>
            </w:r>
          </w:p>
        </w:tc>
        <w:tc>
          <w:tcPr>
            <w:tcW w:w="1036" w:type="dxa"/>
          </w:tcPr>
          <w:p w14:paraId="776A0C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21197E5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0CE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vAlign w:val="center"/>
          </w:tcPr>
          <w:p w14:paraId="0A0FFB60">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751" w:type="dxa"/>
            <w:shd w:val="clear" w:color="auto" w:fill="auto"/>
            <w:vAlign w:val="center"/>
          </w:tcPr>
          <w:p w14:paraId="71A7B7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复方天麻颗粒</w:t>
            </w:r>
          </w:p>
        </w:tc>
        <w:tc>
          <w:tcPr>
            <w:tcW w:w="2176" w:type="dxa"/>
            <w:shd w:val="clear" w:color="auto" w:fill="auto"/>
            <w:vAlign w:val="center"/>
          </w:tcPr>
          <w:p w14:paraId="32C6CFA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5g*10袋</w:t>
            </w:r>
          </w:p>
        </w:tc>
        <w:tc>
          <w:tcPr>
            <w:tcW w:w="1036" w:type="dxa"/>
            <w:vAlign w:val="center"/>
          </w:tcPr>
          <w:p w14:paraId="557DD6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3221007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1、符合《中华人民共和国政府采购法》第二十二条对供应商的基本资格要求；</w:t>
      </w:r>
    </w:p>
    <w:p w14:paraId="6DCA2BD7">
      <w:pPr>
        <w:spacing w:line="360" w:lineRule="auto"/>
        <w:rPr>
          <w:sz w:val="24"/>
        </w:rPr>
      </w:pPr>
      <w:r>
        <w:rPr>
          <w:rFonts w:hint="eastAsia"/>
          <w:sz w:val="24"/>
        </w:rPr>
        <w:t xml:space="preserve">   （1）具有独立承担民事责任能力的合法供应商；</w:t>
      </w:r>
    </w:p>
    <w:p w14:paraId="57116327">
      <w:pPr>
        <w:spacing w:line="360" w:lineRule="auto"/>
        <w:rPr>
          <w:sz w:val="24"/>
        </w:rPr>
      </w:pPr>
      <w:r>
        <w:rPr>
          <w:rFonts w:hint="eastAsia"/>
          <w:sz w:val="24"/>
        </w:rPr>
        <w:t xml:space="preserve">   （2）具有良好的商业信誉和健全的财务会计制度；</w:t>
      </w:r>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bookmarkStart w:id="0" w:name="_GoBack"/>
      <w:bookmarkEnd w:id="0"/>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2、所报药品必须在四川省药械集中采购及医药价格监管平台（以下简称集采平台）上挂网并且符合“两票制”相关规定，且报价供应商须提供药品</w:t>
      </w:r>
      <w:r>
        <w:rPr>
          <w:rFonts w:hint="eastAsia"/>
          <w:sz w:val="24"/>
          <w:lang w:val="en-US" w:eastAsia="zh-CN"/>
        </w:rPr>
        <w:t>生产企业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14:paraId="57D2A0FA">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14:paraId="46F4C9A1">
      <w:pPr>
        <w:numPr>
          <w:ilvl w:val="0"/>
          <w:numId w:val="1"/>
        </w:numPr>
        <w:spacing w:line="360" w:lineRule="auto"/>
        <w:ind w:firstLine="482" w:firstLineChars="200"/>
        <w:rPr>
          <w:rFonts w:ascii="宋体" w:hAnsi="宋体" w:cs="Times New Roman"/>
          <w:b/>
          <w:kern w:val="0"/>
          <w:sz w:val="24"/>
        </w:rPr>
      </w:pPr>
      <w:r>
        <w:rPr>
          <w:rFonts w:hint="eastAsia"/>
          <w:b/>
          <w:bCs w:val="0"/>
          <w:color w:val="FF0000"/>
          <w:sz w:val="24"/>
          <w:lang w:val="en-US" w:eastAsia="zh-CN"/>
        </w:rPr>
        <w:t>商务要求第一条为必须响应项，未响应或负偏离</w:t>
      </w:r>
      <w:r>
        <w:rPr>
          <w:rFonts w:hint="eastAsia" w:ascii="Times New Roman" w:hAnsi="Times New Roman" w:cs="宋体"/>
          <w:b/>
          <w:bCs w:val="0"/>
          <w:color w:val="FF0000"/>
          <w:sz w:val="24"/>
          <w:highlight w:val="none"/>
          <w:lang w:val="en-US" w:eastAsia="zh-CN"/>
        </w:rPr>
        <w:t>则报价无效。</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cs="Times New Roman"/>
          <w:b/>
          <w:bCs/>
          <w:color w:val="FF0000"/>
          <w:kern w:val="0"/>
          <w:sz w:val="24"/>
          <w:lang w:val="en-US" w:eastAsia="zh-CN"/>
        </w:rPr>
        <w:t>特别要求：</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auto"/>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药品生产企业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52"/>
        <w:gridCol w:w="982"/>
        <w:gridCol w:w="804"/>
        <w:gridCol w:w="846"/>
        <w:gridCol w:w="968"/>
        <w:gridCol w:w="1227"/>
        <w:gridCol w:w="1023"/>
        <w:gridCol w:w="1186"/>
        <w:gridCol w:w="1091"/>
        <w:gridCol w:w="1814"/>
        <w:gridCol w:w="1718"/>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152"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982"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804"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846"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68"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227"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023"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186"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091"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814"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718"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728" w:type="dxa"/>
            <w:vAlign w:val="center"/>
          </w:tcPr>
          <w:p w14:paraId="2B3E2E62">
            <w:pPr>
              <w:jc w:val="center"/>
              <w:rPr>
                <w:rFonts w:ascii="宋体" w:hAnsi="宋体" w:cs="Times New Roman"/>
                <w:kern w:val="0"/>
                <w:sz w:val="20"/>
                <w:szCs w:val="20"/>
              </w:rPr>
            </w:pPr>
          </w:p>
        </w:tc>
        <w:tc>
          <w:tcPr>
            <w:tcW w:w="1152"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982"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804" w:type="dxa"/>
            <w:vAlign w:val="center"/>
          </w:tcPr>
          <w:p w14:paraId="2358B546">
            <w:pPr>
              <w:jc w:val="center"/>
              <w:rPr>
                <w:rFonts w:ascii="宋体" w:hAnsi="宋体" w:cs="Times New Roman"/>
                <w:kern w:val="0"/>
                <w:sz w:val="20"/>
                <w:szCs w:val="20"/>
              </w:rPr>
            </w:pPr>
          </w:p>
        </w:tc>
        <w:tc>
          <w:tcPr>
            <w:tcW w:w="846" w:type="dxa"/>
            <w:vAlign w:val="center"/>
          </w:tcPr>
          <w:p w14:paraId="568C81F9">
            <w:pPr>
              <w:jc w:val="center"/>
              <w:rPr>
                <w:rFonts w:ascii="宋体" w:hAnsi="宋体" w:cs="Times New Roman"/>
                <w:kern w:val="0"/>
                <w:sz w:val="20"/>
                <w:szCs w:val="20"/>
              </w:rPr>
            </w:pPr>
          </w:p>
        </w:tc>
        <w:tc>
          <w:tcPr>
            <w:tcW w:w="968"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227"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023"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186"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091"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814"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718"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1152" w:type="dxa"/>
            <w:vAlign w:val="center"/>
          </w:tcPr>
          <w:p w14:paraId="313911C0">
            <w:pPr>
              <w:jc w:val="center"/>
              <w:rPr>
                <w:rFonts w:ascii="宋体" w:hAnsi="宋体" w:cs="Times New Roman"/>
                <w:kern w:val="0"/>
                <w:sz w:val="20"/>
                <w:szCs w:val="20"/>
              </w:rPr>
            </w:pPr>
          </w:p>
        </w:tc>
        <w:tc>
          <w:tcPr>
            <w:tcW w:w="982" w:type="dxa"/>
            <w:vAlign w:val="center"/>
          </w:tcPr>
          <w:p w14:paraId="5E7DB75F">
            <w:pPr>
              <w:jc w:val="center"/>
              <w:rPr>
                <w:rFonts w:ascii="宋体" w:hAnsi="宋体" w:cs="Times New Roman"/>
                <w:kern w:val="0"/>
                <w:sz w:val="20"/>
                <w:szCs w:val="20"/>
              </w:rPr>
            </w:pPr>
          </w:p>
        </w:tc>
        <w:tc>
          <w:tcPr>
            <w:tcW w:w="804" w:type="dxa"/>
          </w:tcPr>
          <w:p w14:paraId="4D56F10D">
            <w:pPr>
              <w:jc w:val="center"/>
              <w:rPr>
                <w:rFonts w:ascii="宋体" w:hAnsi="宋体" w:cs="Times New Roman"/>
                <w:kern w:val="0"/>
                <w:sz w:val="20"/>
                <w:szCs w:val="20"/>
              </w:rPr>
            </w:pPr>
          </w:p>
        </w:tc>
        <w:tc>
          <w:tcPr>
            <w:tcW w:w="846" w:type="dxa"/>
          </w:tcPr>
          <w:p w14:paraId="06A11211">
            <w:pPr>
              <w:jc w:val="center"/>
              <w:rPr>
                <w:rFonts w:ascii="宋体" w:hAnsi="宋体" w:cs="Times New Roman"/>
                <w:kern w:val="0"/>
                <w:sz w:val="20"/>
                <w:szCs w:val="20"/>
              </w:rPr>
            </w:pPr>
          </w:p>
        </w:tc>
        <w:tc>
          <w:tcPr>
            <w:tcW w:w="968" w:type="dxa"/>
            <w:vAlign w:val="center"/>
          </w:tcPr>
          <w:p w14:paraId="4D6653E2">
            <w:pPr>
              <w:jc w:val="center"/>
              <w:rPr>
                <w:rFonts w:ascii="宋体" w:hAnsi="宋体" w:cs="Times New Roman"/>
                <w:kern w:val="0"/>
                <w:sz w:val="20"/>
                <w:szCs w:val="20"/>
              </w:rPr>
            </w:pPr>
          </w:p>
        </w:tc>
        <w:tc>
          <w:tcPr>
            <w:tcW w:w="1227" w:type="dxa"/>
            <w:vAlign w:val="center"/>
          </w:tcPr>
          <w:p w14:paraId="6593AAAF">
            <w:pPr>
              <w:jc w:val="center"/>
              <w:rPr>
                <w:rFonts w:ascii="宋体" w:hAnsi="宋体" w:cs="Times New Roman"/>
                <w:kern w:val="0"/>
                <w:sz w:val="20"/>
                <w:szCs w:val="20"/>
              </w:rPr>
            </w:pPr>
          </w:p>
        </w:tc>
        <w:tc>
          <w:tcPr>
            <w:tcW w:w="1023" w:type="dxa"/>
            <w:vAlign w:val="center"/>
          </w:tcPr>
          <w:p w14:paraId="64404467">
            <w:pPr>
              <w:jc w:val="center"/>
              <w:rPr>
                <w:rFonts w:ascii="宋体" w:hAnsi="宋体" w:cs="Times New Roman"/>
                <w:kern w:val="0"/>
                <w:sz w:val="20"/>
                <w:szCs w:val="20"/>
              </w:rPr>
            </w:pPr>
          </w:p>
        </w:tc>
        <w:tc>
          <w:tcPr>
            <w:tcW w:w="1186"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091"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814"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1718"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41B21E59">
            <w:pPr>
              <w:jc w:val="center"/>
              <w:rPr>
                <w:rFonts w:ascii="宋体" w:hAnsi="宋体" w:cs="Times New Roman"/>
                <w:color w:val="FF0000"/>
                <w:kern w:val="0"/>
                <w:sz w:val="20"/>
                <w:szCs w:val="20"/>
              </w:rPr>
            </w:pPr>
          </w:p>
        </w:tc>
        <w:tc>
          <w:tcPr>
            <w:tcW w:w="1152" w:type="dxa"/>
            <w:vAlign w:val="center"/>
          </w:tcPr>
          <w:p w14:paraId="5055FEEA">
            <w:pPr>
              <w:jc w:val="center"/>
              <w:rPr>
                <w:rFonts w:ascii="宋体" w:hAnsi="宋体" w:cs="Times New Roman"/>
                <w:color w:val="FF0000"/>
                <w:kern w:val="0"/>
                <w:sz w:val="20"/>
                <w:szCs w:val="20"/>
              </w:rPr>
            </w:pPr>
          </w:p>
        </w:tc>
        <w:tc>
          <w:tcPr>
            <w:tcW w:w="982" w:type="dxa"/>
            <w:vAlign w:val="center"/>
          </w:tcPr>
          <w:p w14:paraId="7923ADED">
            <w:pPr>
              <w:jc w:val="center"/>
              <w:rPr>
                <w:rFonts w:ascii="宋体" w:hAnsi="宋体" w:cs="Times New Roman"/>
                <w:color w:val="FF0000"/>
                <w:kern w:val="0"/>
                <w:sz w:val="20"/>
                <w:szCs w:val="20"/>
              </w:rPr>
            </w:pPr>
          </w:p>
        </w:tc>
        <w:tc>
          <w:tcPr>
            <w:tcW w:w="804" w:type="dxa"/>
          </w:tcPr>
          <w:p w14:paraId="78E5CC6F">
            <w:pPr>
              <w:jc w:val="center"/>
              <w:rPr>
                <w:rFonts w:ascii="宋体" w:hAnsi="宋体" w:cs="Times New Roman"/>
                <w:color w:val="FF0000"/>
                <w:kern w:val="0"/>
                <w:sz w:val="20"/>
                <w:szCs w:val="20"/>
              </w:rPr>
            </w:pPr>
          </w:p>
        </w:tc>
        <w:tc>
          <w:tcPr>
            <w:tcW w:w="846" w:type="dxa"/>
          </w:tcPr>
          <w:p w14:paraId="1D4A6BE3">
            <w:pPr>
              <w:jc w:val="center"/>
              <w:rPr>
                <w:rFonts w:ascii="宋体" w:hAnsi="宋体" w:cs="Times New Roman"/>
                <w:color w:val="FF0000"/>
                <w:kern w:val="0"/>
                <w:sz w:val="20"/>
                <w:szCs w:val="20"/>
              </w:rPr>
            </w:pPr>
          </w:p>
        </w:tc>
        <w:tc>
          <w:tcPr>
            <w:tcW w:w="968" w:type="dxa"/>
            <w:vAlign w:val="center"/>
          </w:tcPr>
          <w:p w14:paraId="7A5EA775">
            <w:pPr>
              <w:jc w:val="center"/>
              <w:rPr>
                <w:rFonts w:ascii="宋体" w:hAnsi="宋体" w:cs="Times New Roman"/>
                <w:color w:val="FF0000"/>
                <w:kern w:val="0"/>
                <w:sz w:val="20"/>
                <w:szCs w:val="20"/>
              </w:rPr>
            </w:pPr>
          </w:p>
        </w:tc>
        <w:tc>
          <w:tcPr>
            <w:tcW w:w="1227" w:type="dxa"/>
            <w:vAlign w:val="center"/>
          </w:tcPr>
          <w:p w14:paraId="53D6DCB1">
            <w:pPr>
              <w:jc w:val="center"/>
              <w:rPr>
                <w:rFonts w:ascii="宋体" w:hAnsi="宋体" w:cs="Times New Roman"/>
                <w:color w:val="FF0000"/>
                <w:kern w:val="0"/>
                <w:sz w:val="20"/>
                <w:szCs w:val="20"/>
              </w:rPr>
            </w:pPr>
          </w:p>
        </w:tc>
        <w:tc>
          <w:tcPr>
            <w:tcW w:w="1023" w:type="dxa"/>
            <w:vAlign w:val="center"/>
          </w:tcPr>
          <w:p w14:paraId="736DD0D5">
            <w:pPr>
              <w:jc w:val="center"/>
              <w:rPr>
                <w:rFonts w:ascii="宋体" w:hAnsi="宋体" w:cs="Times New Roman"/>
                <w:color w:val="FF0000"/>
                <w:kern w:val="0"/>
                <w:sz w:val="20"/>
                <w:szCs w:val="20"/>
              </w:rPr>
            </w:pPr>
          </w:p>
        </w:tc>
        <w:tc>
          <w:tcPr>
            <w:tcW w:w="1186"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091"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814"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1718"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0BE8BE5A">
      <w:pPr>
        <w:adjustRightInd w:val="0"/>
        <w:snapToGrid w:val="0"/>
        <w:spacing w:line="360" w:lineRule="exact"/>
        <w:ind w:right="71"/>
        <w:rPr>
          <w:rFonts w:hint="eastAsia"/>
          <w:sz w:val="24"/>
        </w:rPr>
      </w:pPr>
    </w:p>
    <w:p w14:paraId="131317EA">
      <w:pPr>
        <w:adjustRightInd w:val="0"/>
        <w:snapToGrid w:val="0"/>
        <w:spacing w:line="360" w:lineRule="exact"/>
        <w:ind w:right="71"/>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日期：</w:t>
      </w:r>
    </w:p>
    <w:p w14:paraId="1627F4D9">
      <w:pPr>
        <w:spacing w:line="220" w:lineRule="exact"/>
        <w:rPr>
          <w:rFonts w:hint="eastAsia"/>
          <w:kern w:val="0"/>
          <w:sz w:val="18"/>
          <w:szCs w:val="18"/>
        </w:rPr>
      </w:pPr>
    </w:p>
    <w:p w14:paraId="539BCA22">
      <w:pPr>
        <w:spacing w:line="220" w:lineRule="exact"/>
        <w:rPr>
          <w:rFonts w:hint="eastAsia"/>
          <w:kern w:val="0"/>
          <w:sz w:val="18"/>
          <w:szCs w:val="18"/>
        </w:rPr>
      </w:pPr>
    </w:p>
    <w:p w14:paraId="5ADF2919">
      <w:pPr>
        <w:spacing w:line="220" w:lineRule="exact"/>
        <w:rPr>
          <w:rFonts w:hint="eastAsia"/>
          <w:kern w:val="0"/>
          <w:sz w:val="18"/>
          <w:szCs w:val="18"/>
        </w:rPr>
      </w:pPr>
    </w:p>
    <w:p w14:paraId="2D865F74">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132A96BC">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E642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143D9E"/>
    <w:rsid w:val="02BC1CEF"/>
    <w:rsid w:val="03231B33"/>
    <w:rsid w:val="032F1256"/>
    <w:rsid w:val="03A31284"/>
    <w:rsid w:val="04286A3F"/>
    <w:rsid w:val="04426FFE"/>
    <w:rsid w:val="045E0996"/>
    <w:rsid w:val="046643CE"/>
    <w:rsid w:val="0479041D"/>
    <w:rsid w:val="051C683A"/>
    <w:rsid w:val="059712B5"/>
    <w:rsid w:val="05BD06C4"/>
    <w:rsid w:val="05DB6ED0"/>
    <w:rsid w:val="05DE74A5"/>
    <w:rsid w:val="06624721"/>
    <w:rsid w:val="0692209B"/>
    <w:rsid w:val="06A3497E"/>
    <w:rsid w:val="07CB3F38"/>
    <w:rsid w:val="07CC7E5E"/>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6617BB"/>
    <w:rsid w:val="0E81453A"/>
    <w:rsid w:val="0E99541D"/>
    <w:rsid w:val="0EB956B6"/>
    <w:rsid w:val="0EFE0659"/>
    <w:rsid w:val="0F4B5039"/>
    <w:rsid w:val="0F7741DC"/>
    <w:rsid w:val="0FD56AC2"/>
    <w:rsid w:val="103A74C4"/>
    <w:rsid w:val="10A56587"/>
    <w:rsid w:val="10D7436F"/>
    <w:rsid w:val="110E3E23"/>
    <w:rsid w:val="111907A4"/>
    <w:rsid w:val="11E63705"/>
    <w:rsid w:val="11EC57E6"/>
    <w:rsid w:val="12A0457B"/>
    <w:rsid w:val="12AF6F40"/>
    <w:rsid w:val="12C02EFB"/>
    <w:rsid w:val="133C260D"/>
    <w:rsid w:val="135D6B3A"/>
    <w:rsid w:val="136E2957"/>
    <w:rsid w:val="13833B1F"/>
    <w:rsid w:val="13C23B6A"/>
    <w:rsid w:val="13D719DC"/>
    <w:rsid w:val="14472097"/>
    <w:rsid w:val="15503C2B"/>
    <w:rsid w:val="15521B5B"/>
    <w:rsid w:val="15532A7B"/>
    <w:rsid w:val="159D39C7"/>
    <w:rsid w:val="15C35FCC"/>
    <w:rsid w:val="15F80BD6"/>
    <w:rsid w:val="161C1291"/>
    <w:rsid w:val="169D3553"/>
    <w:rsid w:val="16C92F49"/>
    <w:rsid w:val="174C1201"/>
    <w:rsid w:val="174E17EE"/>
    <w:rsid w:val="17924C8C"/>
    <w:rsid w:val="1796286D"/>
    <w:rsid w:val="185A745C"/>
    <w:rsid w:val="18860743"/>
    <w:rsid w:val="189940E5"/>
    <w:rsid w:val="18E13B20"/>
    <w:rsid w:val="18F41B50"/>
    <w:rsid w:val="1912647A"/>
    <w:rsid w:val="194E4F62"/>
    <w:rsid w:val="19F15275"/>
    <w:rsid w:val="1A2235E4"/>
    <w:rsid w:val="1AED32EC"/>
    <w:rsid w:val="1B145CC3"/>
    <w:rsid w:val="1B4236E4"/>
    <w:rsid w:val="1B7519FE"/>
    <w:rsid w:val="1CD23088"/>
    <w:rsid w:val="1D102CD1"/>
    <w:rsid w:val="1D134398"/>
    <w:rsid w:val="1D8D4E5D"/>
    <w:rsid w:val="1D9D19DF"/>
    <w:rsid w:val="1DE55FB8"/>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1B158D4"/>
    <w:rsid w:val="22097CEF"/>
    <w:rsid w:val="22612BFA"/>
    <w:rsid w:val="22780300"/>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1E5EBC"/>
    <w:rsid w:val="293D11D3"/>
    <w:rsid w:val="29F5063D"/>
    <w:rsid w:val="29F769CA"/>
    <w:rsid w:val="2A593FA2"/>
    <w:rsid w:val="2A832D34"/>
    <w:rsid w:val="2ABD539E"/>
    <w:rsid w:val="2B055FD8"/>
    <w:rsid w:val="2B2667A1"/>
    <w:rsid w:val="2B726905"/>
    <w:rsid w:val="2BDC0979"/>
    <w:rsid w:val="2C016606"/>
    <w:rsid w:val="2C542222"/>
    <w:rsid w:val="2D2803F9"/>
    <w:rsid w:val="2D6E5B72"/>
    <w:rsid w:val="2D9B321D"/>
    <w:rsid w:val="2DAA4110"/>
    <w:rsid w:val="2DE03FF9"/>
    <w:rsid w:val="2DF71661"/>
    <w:rsid w:val="2E0870E9"/>
    <w:rsid w:val="2E2E5640"/>
    <w:rsid w:val="2EAD776A"/>
    <w:rsid w:val="2FEB42C5"/>
    <w:rsid w:val="300C2D38"/>
    <w:rsid w:val="312B002D"/>
    <w:rsid w:val="312E328B"/>
    <w:rsid w:val="31705A64"/>
    <w:rsid w:val="3256349C"/>
    <w:rsid w:val="33376CAA"/>
    <w:rsid w:val="33644F60"/>
    <w:rsid w:val="337807F0"/>
    <w:rsid w:val="34077301"/>
    <w:rsid w:val="341D6F3B"/>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DA1F6C"/>
    <w:rsid w:val="3B5A743B"/>
    <w:rsid w:val="3B6268DD"/>
    <w:rsid w:val="3B661F5D"/>
    <w:rsid w:val="3B687BEA"/>
    <w:rsid w:val="3C2B7F4E"/>
    <w:rsid w:val="3C642299"/>
    <w:rsid w:val="3C6C49F6"/>
    <w:rsid w:val="3CB93103"/>
    <w:rsid w:val="3D03558E"/>
    <w:rsid w:val="3D193084"/>
    <w:rsid w:val="3D2201B9"/>
    <w:rsid w:val="3D221AD5"/>
    <w:rsid w:val="3DC30E61"/>
    <w:rsid w:val="3E2C0782"/>
    <w:rsid w:val="3E887032"/>
    <w:rsid w:val="3F4343E8"/>
    <w:rsid w:val="3F624620"/>
    <w:rsid w:val="3F9904AC"/>
    <w:rsid w:val="40370F59"/>
    <w:rsid w:val="4141252C"/>
    <w:rsid w:val="41777053"/>
    <w:rsid w:val="417C0913"/>
    <w:rsid w:val="423E3B1B"/>
    <w:rsid w:val="42494A74"/>
    <w:rsid w:val="425A4AD7"/>
    <w:rsid w:val="425F778B"/>
    <w:rsid w:val="427D63F2"/>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BA2BF9"/>
    <w:rsid w:val="49C76B78"/>
    <w:rsid w:val="4A4264D9"/>
    <w:rsid w:val="4A4C34DE"/>
    <w:rsid w:val="4AB40CD7"/>
    <w:rsid w:val="4B400753"/>
    <w:rsid w:val="4C173BA3"/>
    <w:rsid w:val="4C39104D"/>
    <w:rsid w:val="4C453E95"/>
    <w:rsid w:val="4C5B7215"/>
    <w:rsid w:val="4C9409E4"/>
    <w:rsid w:val="4D270C44"/>
    <w:rsid w:val="4D2E6CE7"/>
    <w:rsid w:val="4D6C007E"/>
    <w:rsid w:val="4EB326F5"/>
    <w:rsid w:val="4EDF4624"/>
    <w:rsid w:val="4F277882"/>
    <w:rsid w:val="4F6E6617"/>
    <w:rsid w:val="4FB57FD2"/>
    <w:rsid w:val="4FF61CE8"/>
    <w:rsid w:val="503469A6"/>
    <w:rsid w:val="507B6E66"/>
    <w:rsid w:val="51B25A38"/>
    <w:rsid w:val="51CE55D6"/>
    <w:rsid w:val="51DE2D2F"/>
    <w:rsid w:val="51DF2E97"/>
    <w:rsid w:val="51DF61F2"/>
    <w:rsid w:val="5249088E"/>
    <w:rsid w:val="526C2F50"/>
    <w:rsid w:val="527B7908"/>
    <w:rsid w:val="52821107"/>
    <w:rsid w:val="52C1231F"/>
    <w:rsid w:val="52EC6671"/>
    <w:rsid w:val="531540FC"/>
    <w:rsid w:val="53664F75"/>
    <w:rsid w:val="536B0C65"/>
    <w:rsid w:val="53730443"/>
    <w:rsid w:val="54026E4B"/>
    <w:rsid w:val="54102FDB"/>
    <w:rsid w:val="544B136F"/>
    <w:rsid w:val="54790B80"/>
    <w:rsid w:val="54D66CC3"/>
    <w:rsid w:val="554923E8"/>
    <w:rsid w:val="55FC2971"/>
    <w:rsid w:val="56113B0C"/>
    <w:rsid w:val="56540E91"/>
    <w:rsid w:val="5664316A"/>
    <w:rsid w:val="567D5FD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C045AA"/>
    <w:rsid w:val="59C77C98"/>
    <w:rsid w:val="59CB613D"/>
    <w:rsid w:val="5A5E6EC6"/>
    <w:rsid w:val="5A64198B"/>
    <w:rsid w:val="5AD54636"/>
    <w:rsid w:val="5B655951"/>
    <w:rsid w:val="5B6E5DA9"/>
    <w:rsid w:val="5B730567"/>
    <w:rsid w:val="5B955B74"/>
    <w:rsid w:val="5BB95895"/>
    <w:rsid w:val="5CE2799E"/>
    <w:rsid w:val="5E122B27"/>
    <w:rsid w:val="5E37504F"/>
    <w:rsid w:val="5E7D301B"/>
    <w:rsid w:val="5ED6097D"/>
    <w:rsid w:val="5F116F60"/>
    <w:rsid w:val="5F1553F6"/>
    <w:rsid w:val="5F1644AF"/>
    <w:rsid w:val="607D3AB8"/>
    <w:rsid w:val="60956D42"/>
    <w:rsid w:val="60A752DD"/>
    <w:rsid w:val="60AC7409"/>
    <w:rsid w:val="60BE5ACE"/>
    <w:rsid w:val="61251E48"/>
    <w:rsid w:val="616E6168"/>
    <w:rsid w:val="619854E1"/>
    <w:rsid w:val="61BB729A"/>
    <w:rsid w:val="61DC3491"/>
    <w:rsid w:val="62580A70"/>
    <w:rsid w:val="6263243A"/>
    <w:rsid w:val="62D125D2"/>
    <w:rsid w:val="63611187"/>
    <w:rsid w:val="63987B81"/>
    <w:rsid w:val="63AB2C38"/>
    <w:rsid w:val="64216B3E"/>
    <w:rsid w:val="643C54B3"/>
    <w:rsid w:val="649B3DCB"/>
    <w:rsid w:val="64B02873"/>
    <w:rsid w:val="65332685"/>
    <w:rsid w:val="654A44AD"/>
    <w:rsid w:val="65874B05"/>
    <w:rsid w:val="659155FE"/>
    <w:rsid w:val="65E44C87"/>
    <w:rsid w:val="65EE47FE"/>
    <w:rsid w:val="6773145F"/>
    <w:rsid w:val="67FE5F5D"/>
    <w:rsid w:val="67FF4C98"/>
    <w:rsid w:val="681A18DB"/>
    <w:rsid w:val="689C208C"/>
    <w:rsid w:val="68EA04EA"/>
    <w:rsid w:val="6A3257E1"/>
    <w:rsid w:val="6A7C05BF"/>
    <w:rsid w:val="6B174127"/>
    <w:rsid w:val="6B1C24C4"/>
    <w:rsid w:val="6B6033AC"/>
    <w:rsid w:val="6B642A9D"/>
    <w:rsid w:val="6BA27D56"/>
    <w:rsid w:val="6BDF07CA"/>
    <w:rsid w:val="6C90660F"/>
    <w:rsid w:val="6D147C45"/>
    <w:rsid w:val="6D900421"/>
    <w:rsid w:val="6DB10915"/>
    <w:rsid w:val="6DD80774"/>
    <w:rsid w:val="6E08548A"/>
    <w:rsid w:val="6E3B7AB8"/>
    <w:rsid w:val="6F033AFE"/>
    <w:rsid w:val="6F2805DA"/>
    <w:rsid w:val="6F7453EA"/>
    <w:rsid w:val="6FA714B5"/>
    <w:rsid w:val="6FC11902"/>
    <w:rsid w:val="706428DC"/>
    <w:rsid w:val="70A807DE"/>
    <w:rsid w:val="70B37F4A"/>
    <w:rsid w:val="70BB4E77"/>
    <w:rsid w:val="70FC6C4E"/>
    <w:rsid w:val="712910DB"/>
    <w:rsid w:val="713A7AAD"/>
    <w:rsid w:val="71527879"/>
    <w:rsid w:val="715B0D25"/>
    <w:rsid w:val="721101F2"/>
    <w:rsid w:val="724B453C"/>
    <w:rsid w:val="73AA13BF"/>
    <w:rsid w:val="73BA1730"/>
    <w:rsid w:val="73EB5578"/>
    <w:rsid w:val="74185868"/>
    <w:rsid w:val="743E2407"/>
    <w:rsid w:val="7463285B"/>
    <w:rsid w:val="74EE65C9"/>
    <w:rsid w:val="74F37A39"/>
    <w:rsid w:val="753177EF"/>
    <w:rsid w:val="75DC59E6"/>
    <w:rsid w:val="763D16D8"/>
    <w:rsid w:val="7671300D"/>
    <w:rsid w:val="76791541"/>
    <w:rsid w:val="76EE5567"/>
    <w:rsid w:val="772C1793"/>
    <w:rsid w:val="773C3D7A"/>
    <w:rsid w:val="77E62B20"/>
    <w:rsid w:val="77F17B5B"/>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F042B00"/>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3351</Words>
  <Characters>3416</Characters>
  <Lines>26</Lines>
  <Paragraphs>7</Paragraphs>
  <TotalTime>1</TotalTime>
  <ScaleCrop>false</ScaleCrop>
  <LinksUpToDate>false</LinksUpToDate>
  <CharactersWithSpaces>3527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2022-04-12T06:17:00Z</cp:lastPrinted>
  <dcterms:modified xsi:type="dcterms:W3CDTF">2026-06-11T02:50:38Z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